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F7B" w14:textId="57BAFF25" w:rsidR="00696439" w:rsidRPr="00CE0DD7" w:rsidRDefault="00696439" w:rsidP="00696439">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00596C0F">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E26033" w:rsidRPr="00E26033">
        <w:rPr>
          <w:rFonts w:asciiTheme="minorHAnsi" w:hAnsiTheme="minorHAnsi" w:cstheme="minorHAnsi"/>
          <w:b/>
          <w:bCs/>
          <w:sz w:val="24"/>
          <w:szCs w:val="28"/>
          <w:lang w:val="en-CA"/>
        </w:rPr>
        <w:t>R4-2316823</w:t>
      </w:r>
    </w:p>
    <w:p w14:paraId="7D0873C1" w14:textId="0A4109B8" w:rsidR="00696439" w:rsidRPr="00CE0DD7" w:rsidRDefault="00596C0F" w:rsidP="00696439">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Xiamen</w:t>
      </w:r>
      <w:r w:rsidR="00696439">
        <w:rPr>
          <w:rFonts w:asciiTheme="minorHAnsi" w:hAnsiTheme="minorHAnsi" w:cstheme="minorHAnsi"/>
          <w:b/>
          <w:bCs/>
          <w:sz w:val="24"/>
          <w:szCs w:val="28"/>
          <w:lang w:val="en-CA"/>
        </w:rPr>
        <w:t xml:space="preserve">, </w:t>
      </w:r>
      <w:r w:rsidR="00A22780">
        <w:rPr>
          <w:rFonts w:asciiTheme="minorHAnsi" w:hAnsiTheme="minorHAnsi" w:cstheme="minorHAnsi"/>
          <w:b/>
          <w:bCs/>
          <w:sz w:val="24"/>
          <w:szCs w:val="28"/>
          <w:lang w:val="en-CA"/>
        </w:rPr>
        <w:t xml:space="preserve">China, </w:t>
      </w:r>
      <w:r w:rsidR="00E43C21">
        <w:rPr>
          <w:rFonts w:asciiTheme="minorHAnsi" w:hAnsiTheme="minorHAnsi" w:cstheme="minorHAnsi"/>
          <w:b/>
          <w:bCs/>
          <w:sz w:val="24"/>
          <w:szCs w:val="28"/>
          <w:lang w:val="en-CA"/>
        </w:rPr>
        <w:t xml:space="preserve">O9 Oct. </w:t>
      </w:r>
      <w:r w:rsidR="00696439" w:rsidRPr="00CE0DD7">
        <w:rPr>
          <w:rFonts w:asciiTheme="minorHAnsi" w:hAnsiTheme="minorHAnsi" w:cstheme="minorHAnsi"/>
          <w:b/>
          <w:bCs/>
          <w:sz w:val="24"/>
          <w:szCs w:val="28"/>
          <w:lang w:val="en-CA"/>
        </w:rPr>
        <w:t>202</w:t>
      </w:r>
      <w:r w:rsidR="00696439">
        <w:rPr>
          <w:rFonts w:asciiTheme="minorHAnsi" w:hAnsiTheme="minorHAnsi" w:cstheme="minorHAnsi"/>
          <w:b/>
          <w:bCs/>
          <w:sz w:val="24"/>
          <w:szCs w:val="28"/>
          <w:lang w:val="en-CA"/>
        </w:rPr>
        <w:t>3</w:t>
      </w:r>
      <w:r w:rsidR="00696439" w:rsidRPr="00CE0DD7">
        <w:rPr>
          <w:rFonts w:asciiTheme="minorHAnsi" w:hAnsiTheme="minorHAnsi" w:cstheme="minorHAnsi"/>
          <w:b/>
          <w:bCs/>
          <w:sz w:val="24"/>
          <w:szCs w:val="28"/>
          <w:lang w:val="en-CA"/>
        </w:rPr>
        <w:t xml:space="preserve"> – </w:t>
      </w:r>
      <w:r w:rsidR="00E43C21">
        <w:rPr>
          <w:rFonts w:asciiTheme="minorHAnsi" w:hAnsiTheme="minorHAnsi" w:cstheme="minorHAnsi"/>
          <w:b/>
          <w:bCs/>
          <w:sz w:val="24"/>
          <w:szCs w:val="28"/>
          <w:lang w:val="en-CA"/>
        </w:rPr>
        <w:t xml:space="preserve">13 Oct. </w:t>
      </w:r>
      <w:r w:rsidR="00696439" w:rsidRPr="00CE0DD7">
        <w:rPr>
          <w:rFonts w:asciiTheme="minorHAnsi" w:hAnsiTheme="minorHAnsi" w:cstheme="minorHAnsi"/>
          <w:b/>
          <w:bCs/>
          <w:sz w:val="24"/>
          <w:szCs w:val="28"/>
          <w:lang w:val="en-CA"/>
        </w:rPr>
        <w:t>202</w:t>
      </w:r>
      <w:r w:rsidR="00696439">
        <w:rPr>
          <w:rFonts w:asciiTheme="minorHAnsi" w:hAnsiTheme="minorHAnsi" w:cstheme="minorHAnsi"/>
          <w:b/>
          <w:bCs/>
          <w:sz w:val="24"/>
          <w:szCs w:val="28"/>
          <w:lang w:val="en-CA"/>
        </w:rPr>
        <w:t>3</w:t>
      </w:r>
    </w:p>
    <w:p w14:paraId="484DBFE7" w14:textId="6D4A76E1" w:rsidR="00696439" w:rsidRPr="005B68C1" w:rsidRDefault="00696439" w:rsidP="00696439">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A1294B">
        <w:rPr>
          <w:rFonts w:asciiTheme="minorHAnsi" w:hAnsiTheme="minorHAnsi" w:cstheme="minorHAnsi"/>
          <w:b/>
          <w:sz w:val="22"/>
          <w:szCs w:val="22"/>
          <w:lang w:val="en-US"/>
        </w:rPr>
        <w:t>5</w:t>
      </w:r>
      <w:r w:rsidR="00D14883">
        <w:rPr>
          <w:rFonts w:asciiTheme="minorHAnsi" w:hAnsiTheme="minorHAnsi" w:cstheme="minorHAnsi"/>
          <w:b/>
          <w:sz w:val="22"/>
          <w:szCs w:val="22"/>
          <w:lang w:val="en-US"/>
        </w:rPr>
        <w:t>.24.</w:t>
      </w:r>
      <w:r w:rsidR="0000098B">
        <w:rPr>
          <w:rFonts w:asciiTheme="minorHAnsi" w:hAnsiTheme="minorHAnsi" w:cstheme="minorHAnsi"/>
          <w:b/>
          <w:sz w:val="22"/>
          <w:szCs w:val="22"/>
          <w:lang w:val="en-US"/>
        </w:rPr>
        <w:t>2.1</w:t>
      </w:r>
      <w:r w:rsidR="00A1294B">
        <w:rPr>
          <w:rFonts w:asciiTheme="minorHAnsi" w:hAnsiTheme="minorHAnsi" w:cstheme="minorHAnsi"/>
          <w:b/>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86F32E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F0C1A" w:rsidRPr="00BF0C1A">
        <w:rPr>
          <w:rFonts w:asciiTheme="minorHAnsi" w:hAnsiTheme="minorHAnsi" w:cstheme="minorHAnsi"/>
          <w:sz w:val="22"/>
          <w:szCs w:val="22"/>
          <w:lang w:val="en-CA"/>
        </w:rPr>
        <w:t>On LTM general aspects and scenarios</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1" w:name="OLE_LINK13"/>
      <w:bookmarkStart w:id="2" w:name="OLE_LINK14"/>
    </w:p>
    <w:p w14:paraId="71B0A483" w14:textId="276591E9" w:rsidR="00E11A4D" w:rsidRPr="00CA5D1F" w:rsidRDefault="00E11A4D" w:rsidP="00D24F68">
      <w:pPr>
        <w:rPr>
          <w:sz w:val="22"/>
          <w:lang w:val="en-CA"/>
        </w:rPr>
      </w:pPr>
      <w:r w:rsidRPr="00CA5D1F">
        <w:rPr>
          <w:sz w:val="22"/>
          <w:lang w:val="en-CA"/>
        </w:rPr>
        <w:t xml:space="preserve">In this contribution, we provide our views on the </w:t>
      </w:r>
      <w:r w:rsidR="001B6035" w:rsidRPr="00CA5D1F">
        <w:rPr>
          <w:sz w:val="22"/>
          <w:lang w:val="en-CA"/>
        </w:rPr>
        <w:t xml:space="preserve">DL and UL synchronisations </w:t>
      </w:r>
      <w:r w:rsidR="00220472" w:rsidRPr="00CA5D1F">
        <w:rPr>
          <w:sz w:val="22"/>
          <w:lang w:val="en-CA"/>
        </w:rPr>
        <w:t xml:space="preserve">aspects </w:t>
      </w:r>
      <w:r w:rsidR="00AC6F72" w:rsidRPr="00CA5D1F">
        <w:rPr>
          <w:sz w:val="22"/>
          <w:lang w:val="en-CA"/>
        </w:rPr>
        <w:t xml:space="preserve">for </w:t>
      </w:r>
      <w:bookmarkStart w:id="3" w:name="_Hlk110923768"/>
      <w:r w:rsidR="007A3EDB" w:rsidRPr="00CA5D1F">
        <w:rPr>
          <w:sz w:val="22"/>
          <w:lang w:val="en-CA"/>
        </w:rPr>
        <w:t>L1/L2</w:t>
      </w:r>
      <w:r w:rsidR="00AC6F72" w:rsidRPr="00CA5D1F">
        <w:rPr>
          <w:sz w:val="22"/>
          <w:lang w:val="en-CA"/>
        </w:rPr>
        <w:t xml:space="preserve"> triggered </w:t>
      </w:r>
      <w:r w:rsidR="007A3EDB" w:rsidRPr="00CA5D1F">
        <w:rPr>
          <w:sz w:val="22"/>
          <w:lang w:val="en-CA"/>
        </w:rPr>
        <w:t>inter-cell mobility</w:t>
      </w:r>
      <w:bookmarkEnd w:id="3"/>
      <w:r w:rsidR="000A461C" w:rsidRPr="00CA5D1F">
        <w:rPr>
          <w:sz w:val="22"/>
          <w:lang w:val="en-CA"/>
        </w:rPr>
        <w:t xml:space="preserve"> (LTM)</w:t>
      </w:r>
      <w:r w:rsidR="00CF681D" w:rsidRPr="00CA5D1F">
        <w:rPr>
          <w:sz w:val="22"/>
          <w:lang w:val="en-CA"/>
        </w:rPr>
        <w:t>.</w:t>
      </w:r>
      <w:r w:rsidRPr="00CA5D1F">
        <w:rPr>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4445B7B" w14:textId="085DD5D5" w:rsidR="00206DB0" w:rsidRPr="009776D2" w:rsidRDefault="00206DB0" w:rsidP="00206DB0">
      <w:pPr>
        <w:pStyle w:val="Heading2"/>
        <w:rPr>
          <w:rFonts w:cs="Arial"/>
          <w:sz w:val="28"/>
          <w:szCs w:val="28"/>
        </w:rPr>
      </w:pPr>
      <w:bookmarkStart w:id="4" w:name="_Toc5952573"/>
      <w:r>
        <w:rPr>
          <w:rFonts w:cs="Arial"/>
          <w:sz w:val="28"/>
          <w:szCs w:val="28"/>
        </w:rPr>
        <w:t xml:space="preserve">  Pre-synchronisation aspects for </w:t>
      </w:r>
      <w:r w:rsidR="00CD6396">
        <w:rPr>
          <w:rFonts w:cs="Arial"/>
          <w:sz w:val="28"/>
          <w:szCs w:val="28"/>
        </w:rPr>
        <w:t>LTM</w:t>
      </w:r>
      <w:r>
        <w:rPr>
          <w:rFonts w:cs="Arial"/>
          <w:sz w:val="28"/>
          <w:szCs w:val="28"/>
        </w:rPr>
        <w:t xml:space="preserve">  </w:t>
      </w:r>
      <w:r w:rsidRPr="009776D2">
        <w:rPr>
          <w:rFonts w:cs="Arial"/>
          <w:sz w:val="28"/>
          <w:szCs w:val="28"/>
        </w:rPr>
        <w:t xml:space="preserve">  </w:t>
      </w:r>
    </w:p>
    <w:p w14:paraId="3D764AB6" w14:textId="5C3275B1" w:rsidR="00206DB0" w:rsidRPr="003F6EF6" w:rsidRDefault="00206DB0" w:rsidP="00206DB0">
      <w:pPr>
        <w:rPr>
          <w:sz w:val="22"/>
          <w:szCs w:val="22"/>
        </w:rPr>
      </w:pPr>
      <w:r w:rsidRPr="003F6EF6">
        <w:rPr>
          <w:sz w:val="22"/>
          <w:szCs w:val="22"/>
        </w:rPr>
        <w:t xml:space="preserve">In previous meetings, RAN1 agreed to support RACH transmission before the cell switch command and the corresponding RAN1 agreements are shown </w:t>
      </w:r>
      <w:r w:rsidRPr="003F6EF6">
        <w:rPr>
          <w:i/>
          <w:iCs/>
          <w:sz w:val="22"/>
          <w:szCs w:val="22"/>
        </w:rPr>
        <w:t>below</w:t>
      </w:r>
      <w:r w:rsidRPr="003F6EF6">
        <w:rPr>
          <w:sz w:val="22"/>
          <w:szCs w:val="22"/>
        </w:rPr>
        <w:t>.</w:t>
      </w:r>
    </w:p>
    <w:tbl>
      <w:tblPr>
        <w:tblW w:w="99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0"/>
      </w:tblGrid>
      <w:tr w:rsidR="00206DB0" w:rsidRPr="003F6EF6" w14:paraId="0C70E24A" w14:textId="77777777" w:rsidTr="000D3186">
        <w:trPr>
          <w:trHeight w:val="2710"/>
        </w:trPr>
        <w:tc>
          <w:tcPr>
            <w:tcW w:w="9970" w:type="dxa"/>
          </w:tcPr>
          <w:p w14:paraId="7E1CF776" w14:textId="77777777" w:rsidR="00206DB0" w:rsidRPr="003F6EF6" w:rsidRDefault="00206DB0" w:rsidP="00D437AF">
            <w:pPr>
              <w:pStyle w:val="ListParagraph"/>
              <w:numPr>
                <w:ilvl w:val="0"/>
                <w:numId w:val="16"/>
              </w:numPr>
              <w:shd w:val="clear" w:color="auto" w:fill="FFFFFF"/>
              <w:snapToGrid w:val="0"/>
              <w:spacing w:after="0"/>
              <w:ind w:left="381" w:hanging="357"/>
              <w:contextualSpacing w:val="0"/>
              <w:jc w:val="both"/>
              <w:rPr>
                <w:rFonts w:eastAsia="MS PGothic"/>
                <w:i/>
                <w:iCs/>
                <w:color w:val="000000"/>
                <w:sz w:val="22"/>
                <w:szCs w:val="22"/>
                <w:lang w:val="en-US" w:eastAsia="zh-CN"/>
              </w:rPr>
            </w:pPr>
            <w:r w:rsidRPr="003F6EF6">
              <w:rPr>
                <w:rFonts w:eastAsia="MS PGothic"/>
                <w:i/>
                <w:iCs/>
                <w:color w:val="000000"/>
                <w:sz w:val="22"/>
                <w:szCs w:val="22"/>
                <w:lang w:val="en-US" w:eastAsia="zh-CN"/>
              </w:rPr>
              <w:t xml:space="preserve">Support </w:t>
            </w:r>
            <w:r w:rsidRPr="003F6EF6">
              <w:rPr>
                <w:i/>
                <w:iCs/>
                <w:color w:val="000000"/>
                <w:sz w:val="22"/>
                <w:szCs w:val="22"/>
                <w:lang w:val="en-US" w:eastAsia="zh-CN"/>
              </w:rPr>
              <w:t>TA</w:t>
            </w:r>
            <w:r w:rsidRPr="003F6EF6">
              <w:rPr>
                <w:rFonts w:eastAsia="MS PGothic"/>
                <w:i/>
                <w:iCs/>
                <w:color w:val="000000"/>
                <w:sz w:val="22"/>
                <w:szCs w:val="22"/>
                <w:lang w:val="en-US" w:eastAsia="zh-CN"/>
              </w:rPr>
              <w:t xml:space="preserve"> acquisition of candidate cell(s) before cell switch command is received in L1/L2 based mobility.</w:t>
            </w:r>
          </w:p>
          <w:p w14:paraId="384E77C8" w14:textId="77777777" w:rsidR="00206DB0" w:rsidRPr="003F6EF6" w:rsidRDefault="00206DB0" w:rsidP="00D437AF">
            <w:pPr>
              <w:pStyle w:val="ListParagraph"/>
              <w:numPr>
                <w:ilvl w:val="1"/>
                <w:numId w:val="17"/>
              </w:numPr>
              <w:snapToGrid w:val="0"/>
              <w:spacing w:after="100" w:afterAutospacing="1"/>
              <w:ind w:left="1104"/>
              <w:contextualSpacing w:val="0"/>
              <w:jc w:val="both"/>
              <w:rPr>
                <w:rFonts w:eastAsia="MS PGothic"/>
                <w:i/>
                <w:iCs/>
                <w:sz w:val="22"/>
                <w:szCs w:val="22"/>
                <w:lang w:val="en-US" w:eastAsia="zh-CN"/>
              </w:rPr>
            </w:pPr>
            <w:r w:rsidRPr="003F6EF6">
              <w:rPr>
                <w:rFonts w:eastAsia="MS PGothic"/>
                <w:i/>
                <w:iCs/>
                <w:sz w:val="22"/>
                <w:szCs w:val="22"/>
                <w:lang w:val="en-US" w:eastAsia="zh-CN"/>
              </w:rPr>
              <w:t xml:space="preserve">FFS: </w:t>
            </w:r>
            <w:r w:rsidRPr="003F6EF6">
              <w:rPr>
                <w:rFonts w:eastAsia="Microsoft YaHei UI"/>
                <w:i/>
                <w:iCs/>
                <w:sz w:val="22"/>
                <w:szCs w:val="22"/>
              </w:rPr>
              <w:t>whether</w:t>
            </w:r>
            <w:r w:rsidRPr="003F6EF6">
              <w:rPr>
                <w:rFonts w:eastAsia="MS PGothic"/>
                <w:i/>
                <w:iCs/>
                <w:sz w:val="22"/>
                <w:szCs w:val="22"/>
                <w:lang w:val="en-US" w:eastAsia="zh-CN"/>
              </w:rPr>
              <w:t xml:space="preserve"> this can be applied to candidate cell when it is deactivated SCell (if defined in RAN2)</w:t>
            </w:r>
          </w:p>
          <w:p w14:paraId="35560EB2" w14:textId="77777777" w:rsidR="00206DB0" w:rsidRPr="003F6EF6" w:rsidRDefault="00206DB0" w:rsidP="00D437AF">
            <w:pPr>
              <w:numPr>
                <w:ilvl w:val="0"/>
                <w:numId w:val="16"/>
              </w:numPr>
              <w:shd w:val="clear" w:color="auto" w:fill="FFFFFF"/>
              <w:snapToGrid w:val="0"/>
              <w:spacing w:after="0"/>
              <w:ind w:left="381" w:hanging="357"/>
              <w:jc w:val="both"/>
              <w:rPr>
                <w:i/>
                <w:iCs/>
                <w:color w:val="000000"/>
                <w:sz w:val="22"/>
                <w:szCs w:val="22"/>
                <w:lang w:val="en-US" w:eastAsia="zh-CN"/>
              </w:rPr>
            </w:pPr>
            <w:r w:rsidRPr="003F6EF6">
              <w:rPr>
                <w:i/>
                <w:iCs/>
                <w:color w:val="000000"/>
                <w:sz w:val="22"/>
                <w:szCs w:val="22"/>
                <w:lang w:val="en-US" w:eastAsia="zh-CN"/>
              </w:rPr>
              <w:t xml:space="preserve">On mechanism to </w:t>
            </w:r>
            <w:r w:rsidRPr="003F6EF6">
              <w:rPr>
                <w:rFonts w:eastAsia="Microsoft YaHei UI"/>
                <w:i/>
                <w:iCs/>
                <w:sz w:val="22"/>
                <w:szCs w:val="22"/>
                <w:lang w:eastAsia="en-GB"/>
              </w:rPr>
              <w:t>acquire</w:t>
            </w:r>
            <w:r w:rsidRPr="003F6EF6">
              <w:rPr>
                <w:i/>
                <w:iCs/>
                <w:color w:val="000000"/>
                <w:sz w:val="22"/>
                <w:szCs w:val="22"/>
                <w:lang w:val="en-US" w:eastAsia="zh-CN"/>
              </w:rPr>
              <w:t xml:space="preserve"> TA of the candidate cell(s) in Rel-18 LTM, at least support PDCCH ordered RACH.</w:t>
            </w:r>
          </w:p>
          <w:p w14:paraId="417E90BD" w14:textId="77777777" w:rsidR="00206DB0" w:rsidRPr="003F6EF6" w:rsidRDefault="00206DB0" w:rsidP="00D437AF">
            <w:pPr>
              <w:numPr>
                <w:ilvl w:val="1"/>
                <w:numId w:val="17"/>
              </w:numPr>
              <w:snapToGrid w:val="0"/>
              <w:spacing w:after="100" w:afterAutospacing="1"/>
              <w:ind w:left="1104"/>
              <w:jc w:val="both"/>
              <w:rPr>
                <w:rFonts w:eastAsia="Microsoft YaHei UI"/>
                <w:i/>
                <w:iCs/>
                <w:sz w:val="22"/>
                <w:szCs w:val="22"/>
                <w:lang w:eastAsia="en-GB"/>
              </w:rPr>
            </w:pPr>
            <w:r w:rsidRPr="003F6EF6">
              <w:rPr>
                <w:rFonts w:eastAsia="Microsoft YaHei UI"/>
                <w:i/>
                <w:iCs/>
                <w:sz w:val="22"/>
                <w:szCs w:val="22"/>
                <w:lang w:eastAsia="en-GB"/>
              </w:rPr>
              <w:t>The PDCCH order is only triggered by source cell</w:t>
            </w:r>
          </w:p>
          <w:p w14:paraId="2F8386D7" w14:textId="77777777" w:rsidR="00206DB0" w:rsidRPr="003F6EF6" w:rsidRDefault="00206DB0" w:rsidP="00D437AF">
            <w:pPr>
              <w:numPr>
                <w:ilvl w:val="1"/>
                <w:numId w:val="17"/>
              </w:numPr>
              <w:snapToGrid w:val="0"/>
              <w:spacing w:after="100" w:afterAutospacing="1"/>
              <w:ind w:left="1104"/>
              <w:jc w:val="both"/>
              <w:rPr>
                <w:rFonts w:eastAsia="Microsoft YaHei UI"/>
                <w:i/>
                <w:iCs/>
                <w:sz w:val="22"/>
                <w:szCs w:val="22"/>
                <w:lang w:eastAsia="en-GB"/>
              </w:rPr>
            </w:pPr>
            <w:r w:rsidRPr="003F6EF6">
              <w:rPr>
                <w:rFonts w:eastAsia="Microsoft YaHei UI"/>
                <w:i/>
                <w:iCs/>
                <w:sz w:val="22"/>
                <w:szCs w:val="22"/>
                <w:lang w:eastAsia="en-GB"/>
              </w:rPr>
              <w:t>FFS: the details including content of DCI, RACH resource configuration, RAR transmission mechanism, etc.</w:t>
            </w:r>
          </w:p>
          <w:p w14:paraId="0B54E577" w14:textId="77777777" w:rsidR="00206DB0" w:rsidRPr="003F6EF6" w:rsidRDefault="00206DB0" w:rsidP="00D437AF">
            <w:pPr>
              <w:pStyle w:val="ListParagraph"/>
              <w:numPr>
                <w:ilvl w:val="0"/>
                <w:numId w:val="16"/>
              </w:numPr>
              <w:shd w:val="clear" w:color="auto" w:fill="FFFFFF"/>
              <w:snapToGrid w:val="0"/>
              <w:spacing w:after="0"/>
              <w:ind w:left="381" w:hanging="357"/>
              <w:jc w:val="both"/>
              <w:rPr>
                <w:rFonts w:eastAsia="MS PGothic"/>
                <w:i/>
                <w:iCs/>
                <w:color w:val="000000"/>
                <w:sz w:val="22"/>
                <w:szCs w:val="22"/>
                <w:lang w:val="en-US" w:eastAsia="zh-CN"/>
              </w:rPr>
            </w:pPr>
            <w:r w:rsidRPr="003F6EF6">
              <w:rPr>
                <w:rFonts w:eastAsia="Microsoft YaHei UI"/>
                <w:i/>
                <w:iCs/>
                <w:sz w:val="22"/>
                <w:szCs w:val="22"/>
                <w:lang w:eastAsia="en-GB"/>
              </w:rPr>
              <w:t>Note: any other RACH-based solutions are for discussion separately</w:t>
            </w:r>
          </w:p>
          <w:p w14:paraId="63D8BA53" w14:textId="3AE8AD80" w:rsidR="00FF2A45" w:rsidRPr="003F6EF6" w:rsidRDefault="00FF2A45" w:rsidP="00FF2A45">
            <w:pPr>
              <w:shd w:val="clear" w:color="auto" w:fill="FFFFFF"/>
              <w:snapToGrid w:val="0"/>
              <w:spacing w:after="0"/>
              <w:jc w:val="both"/>
              <w:rPr>
                <w:rFonts w:eastAsia="MS PGothic"/>
                <w:i/>
                <w:iCs/>
                <w:color w:val="000000"/>
                <w:sz w:val="22"/>
                <w:szCs w:val="22"/>
                <w:lang w:val="en-US" w:eastAsia="zh-CN"/>
              </w:rPr>
            </w:pPr>
          </w:p>
        </w:tc>
      </w:tr>
    </w:tbl>
    <w:p w14:paraId="61A5E615" w14:textId="77777777" w:rsidR="00206DB0" w:rsidRDefault="00206DB0" w:rsidP="00206DB0">
      <w:pPr>
        <w:rPr>
          <w:sz w:val="22"/>
          <w:szCs w:val="22"/>
        </w:rPr>
      </w:pPr>
    </w:p>
    <w:p w14:paraId="23407D2B" w14:textId="77777777" w:rsidR="00304BFD" w:rsidRDefault="00DD3FCB" w:rsidP="00206DB0">
      <w:pPr>
        <w:rPr>
          <w:sz w:val="22"/>
          <w:szCs w:val="22"/>
        </w:rPr>
      </w:pPr>
      <w:r>
        <w:rPr>
          <w:sz w:val="22"/>
          <w:szCs w:val="22"/>
        </w:rPr>
        <w:t xml:space="preserve">DL pre-synchronisation </w:t>
      </w:r>
      <w:r w:rsidR="003C28D5">
        <w:rPr>
          <w:sz w:val="22"/>
          <w:szCs w:val="22"/>
        </w:rPr>
        <w:t>has mainly two advantages</w:t>
      </w:r>
      <w:r w:rsidR="006A7871">
        <w:rPr>
          <w:sz w:val="22"/>
          <w:szCs w:val="22"/>
        </w:rPr>
        <w:t xml:space="preserve">. </w:t>
      </w:r>
    </w:p>
    <w:p w14:paraId="1493100E" w14:textId="77777777" w:rsidR="00996673" w:rsidRDefault="006A7871" w:rsidP="00D437AF">
      <w:pPr>
        <w:pStyle w:val="ListParagraph"/>
        <w:numPr>
          <w:ilvl w:val="0"/>
          <w:numId w:val="19"/>
        </w:numPr>
        <w:rPr>
          <w:sz w:val="22"/>
          <w:szCs w:val="22"/>
        </w:rPr>
      </w:pPr>
      <w:r w:rsidRPr="00304BFD">
        <w:rPr>
          <w:sz w:val="22"/>
          <w:szCs w:val="22"/>
        </w:rPr>
        <w:t xml:space="preserve">To transmit RACH </w:t>
      </w:r>
      <w:r w:rsidR="004773A1" w:rsidRPr="00304BFD">
        <w:rPr>
          <w:sz w:val="22"/>
          <w:szCs w:val="22"/>
        </w:rPr>
        <w:t xml:space="preserve">without additional synchronisation delay after receiving </w:t>
      </w:r>
      <w:r w:rsidR="00996673">
        <w:rPr>
          <w:sz w:val="22"/>
          <w:szCs w:val="22"/>
        </w:rPr>
        <w:t xml:space="preserve">PDCCH order </w:t>
      </w:r>
    </w:p>
    <w:p w14:paraId="4F17DB82" w14:textId="685629BA" w:rsidR="00DD3FCB" w:rsidRDefault="00996673" w:rsidP="00D437AF">
      <w:pPr>
        <w:pStyle w:val="ListParagraph"/>
        <w:numPr>
          <w:ilvl w:val="0"/>
          <w:numId w:val="19"/>
        </w:numPr>
        <w:rPr>
          <w:sz w:val="22"/>
          <w:szCs w:val="22"/>
        </w:rPr>
      </w:pPr>
      <w:r>
        <w:rPr>
          <w:sz w:val="22"/>
          <w:szCs w:val="22"/>
        </w:rPr>
        <w:t xml:space="preserve">To skip fine time tracking after receiving </w:t>
      </w:r>
      <w:r w:rsidR="004773A1" w:rsidRPr="00304BFD">
        <w:rPr>
          <w:sz w:val="22"/>
          <w:szCs w:val="22"/>
        </w:rPr>
        <w:t xml:space="preserve">the cell switch command </w:t>
      </w:r>
    </w:p>
    <w:p w14:paraId="26652FFF" w14:textId="06B61693" w:rsidR="00996673" w:rsidRDefault="00996673" w:rsidP="00996673">
      <w:pPr>
        <w:rPr>
          <w:sz w:val="22"/>
          <w:szCs w:val="22"/>
        </w:rPr>
      </w:pPr>
      <w:r>
        <w:rPr>
          <w:sz w:val="22"/>
          <w:szCs w:val="22"/>
        </w:rPr>
        <w:t xml:space="preserve">In the subsequent sections we discuss </w:t>
      </w:r>
      <w:r w:rsidR="00DC174C">
        <w:rPr>
          <w:sz w:val="22"/>
          <w:szCs w:val="22"/>
        </w:rPr>
        <w:t xml:space="preserve">the pre-sync </w:t>
      </w:r>
      <w:r w:rsidR="00AD57C8">
        <w:rPr>
          <w:sz w:val="22"/>
          <w:szCs w:val="22"/>
        </w:rPr>
        <w:t xml:space="preserve">aspects for PDCCH </w:t>
      </w:r>
      <w:r w:rsidR="004737C2">
        <w:rPr>
          <w:sz w:val="22"/>
          <w:szCs w:val="22"/>
        </w:rPr>
        <w:t>order-based</w:t>
      </w:r>
      <w:r w:rsidR="00AD57C8">
        <w:rPr>
          <w:sz w:val="22"/>
          <w:szCs w:val="22"/>
        </w:rPr>
        <w:t xml:space="preserve"> RACH to target cell </w:t>
      </w:r>
      <w:r w:rsidR="00EF38E7">
        <w:rPr>
          <w:sz w:val="22"/>
          <w:szCs w:val="22"/>
        </w:rPr>
        <w:t>and fine</w:t>
      </w:r>
      <w:r w:rsidR="00DC174C">
        <w:rPr>
          <w:sz w:val="22"/>
          <w:szCs w:val="22"/>
        </w:rPr>
        <w:t xml:space="preserve"> timing acquisition </w:t>
      </w:r>
      <w:r w:rsidR="00EF38E7">
        <w:rPr>
          <w:sz w:val="22"/>
          <w:szCs w:val="22"/>
        </w:rPr>
        <w:t>after cell switch command.</w:t>
      </w:r>
    </w:p>
    <w:p w14:paraId="2C121FD4" w14:textId="5CD2FFE7" w:rsidR="00EF38E7" w:rsidRPr="004737C2" w:rsidRDefault="00EF38E7" w:rsidP="00CD6396">
      <w:pPr>
        <w:pStyle w:val="Heading3"/>
      </w:pPr>
      <w:r w:rsidRPr="004737C2">
        <w:t>Pre-sync aspects for PDCCH order-based RACH</w:t>
      </w:r>
    </w:p>
    <w:p w14:paraId="3C25693B" w14:textId="66A314FE" w:rsidR="007A220E" w:rsidRDefault="007A220E" w:rsidP="007A220E">
      <w:pPr>
        <w:rPr>
          <w:sz w:val="22"/>
          <w:szCs w:val="22"/>
        </w:rPr>
      </w:pPr>
      <w:r>
        <w:rPr>
          <w:sz w:val="22"/>
          <w:szCs w:val="22"/>
        </w:rPr>
        <w:t>In RAN4#108 meeting, following is agreed w.r.t UL Tx timing requirements.</w:t>
      </w:r>
    </w:p>
    <w:p w14:paraId="0242DFB8" w14:textId="77777777" w:rsidR="007A220E" w:rsidRPr="00051488" w:rsidRDefault="007A220E" w:rsidP="007A220E">
      <w:pPr>
        <w:spacing w:after="120"/>
        <w:rPr>
          <w:i/>
          <w:iCs/>
          <w:color w:val="000000" w:themeColor="text1"/>
          <w:sz w:val="22"/>
          <w:szCs w:val="22"/>
          <w:lang w:val="en-US"/>
        </w:rPr>
      </w:pPr>
      <w:r w:rsidRPr="00051488">
        <w:rPr>
          <w:i/>
          <w:iCs/>
          <w:color w:val="000000" w:themeColor="text1"/>
          <w:sz w:val="22"/>
          <w:szCs w:val="22"/>
          <w:lang w:val="en-US"/>
        </w:rPr>
        <w:t>Applicability of UL Tx timing requirements for PDCCH ordered PRACH to target cell.</w:t>
      </w:r>
    </w:p>
    <w:p w14:paraId="5A8D3CCE" w14:textId="77777777" w:rsidR="007A220E" w:rsidRPr="00051488" w:rsidRDefault="007A220E" w:rsidP="00D437AF">
      <w:pPr>
        <w:pStyle w:val="ListParagraph"/>
        <w:numPr>
          <w:ilvl w:val="1"/>
          <w:numId w:val="15"/>
        </w:numPr>
        <w:spacing w:after="120"/>
        <w:contextualSpacing w:val="0"/>
        <w:rPr>
          <w:i/>
          <w:iCs/>
          <w:sz w:val="24"/>
          <w:szCs w:val="24"/>
        </w:rPr>
      </w:pPr>
      <w:r w:rsidRPr="00051488">
        <w:rPr>
          <w:i/>
          <w:iCs/>
          <w:color w:val="000000" w:themeColor="text1"/>
          <w:sz w:val="22"/>
          <w:szCs w:val="22"/>
          <w:lang w:val="en-US"/>
        </w:rPr>
        <w:t xml:space="preserve">If TCI state of target cell has been activated before PDCCH ordered RACH, </w:t>
      </w:r>
      <w:r w:rsidRPr="00051488">
        <w:rPr>
          <w:rFonts w:hint="eastAsia"/>
          <w:i/>
          <w:iCs/>
          <w:color w:val="000000" w:themeColor="text1"/>
          <w:sz w:val="22"/>
          <w:szCs w:val="22"/>
          <w:lang w:val="en-US" w:eastAsia="zh-CN"/>
        </w:rPr>
        <w:t>and</w:t>
      </w:r>
      <w:r w:rsidRPr="00051488">
        <w:rPr>
          <w:i/>
          <w:iCs/>
          <w:color w:val="000000" w:themeColor="text1"/>
          <w:sz w:val="22"/>
          <w:szCs w:val="22"/>
          <w:lang w:val="en-US"/>
        </w:rPr>
        <w:t xml:space="preserve"> if SSB index indicated in PDCCH order is in the active TCI state list, and measurement period of L1-RSRP is no longer than 160ms, UE doesn’t need additional time for SSB based T/F tracking to meet </w:t>
      </w:r>
      <w:proofErr w:type="spellStart"/>
      <w:r w:rsidRPr="00051488">
        <w:rPr>
          <w:i/>
          <w:iCs/>
          <w:color w:val="000000" w:themeColor="text1"/>
          <w:sz w:val="22"/>
          <w:szCs w:val="22"/>
          <w:lang w:val="en-US"/>
        </w:rPr>
        <w:t>Te</w:t>
      </w:r>
      <w:proofErr w:type="spellEnd"/>
      <w:r w:rsidRPr="00051488">
        <w:rPr>
          <w:i/>
          <w:iCs/>
          <w:color w:val="000000" w:themeColor="text1"/>
          <w:sz w:val="22"/>
          <w:szCs w:val="22"/>
          <w:lang w:val="en-US"/>
        </w:rPr>
        <w:t xml:space="preserve"> requirements. otherwise, additional time for SSB based T/F tracking is needed.</w:t>
      </w:r>
    </w:p>
    <w:p w14:paraId="7762960F" w14:textId="77777777" w:rsidR="007A220E" w:rsidRPr="00051488" w:rsidRDefault="007A220E" w:rsidP="00D437AF">
      <w:pPr>
        <w:pStyle w:val="ListParagraph"/>
        <w:numPr>
          <w:ilvl w:val="1"/>
          <w:numId w:val="15"/>
        </w:numPr>
        <w:spacing w:after="120"/>
        <w:contextualSpacing w:val="0"/>
        <w:rPr>
          <w:i/>
          <w:iCs/>
          <w:sz w:val="24"/>
          <w:szCs w:val="24"/>
        </w:rPr>
      </w:pPr>
      <w:r w:rsidRPr="00051488">
        <w:rPr>
          <w:i/>
          <w:iCs/>
          <w:color w:val="000000" w:themeColor="text1"/>
          <w:sz w:val="22"/>
          <w:szCs w:val="22"/>
          <w:lang w:val="en-US"/>
        </w:rPr>
        <w:t>If SSB index indicated in PDCCH order is not in the active TCI state list that has been activated for the target cell, when the measurement period of L1-RSRP is no longer than 160ms, whether additional delay is needed for T</w:t>
      </w:r>
      <w:r w:rsidRPr="00051488">
        <w:rPr>
          <w:i/>
          <w:iCs/>
          <w:color w:val="000000" w:themeColor="text1"/>
          <w:sz w:val="22"/>
          <w:szCs w:val="22"/>
          <w:vertAlign w:val="subscript"/>
          <w:lang w:val="en-US"/>
        </w:rPr>
        <w:t>SSB</w:t>
      </w:r>
      <w:r w:rsidRPr="00051488">
        <w:rPr>
          <w:i/>
          <w:iCs/>
          <w:color w:val="000000" w:themeColor="text1"/>
          <w:sz w:val="22"/>
          <w:szCs w:val="22"/>
          <w:lang w:val="en-US"/>
        </w:rPr>
        <w:t xml:space="preserve"> is FFS</w:t>
      </w:r>
    </w:p>
    <w:p w14:paraId="788D97A0" w14:textId="44EFB032" w:rsidR="004D3E2E" w:rsidRDefault="00C36A18" w:rsidP="00206DB0">
      <w:pPr>
        <w:rPr>
          <w:sz w:val="22"/>
          <w:szCs w:val="22"/>
        </w:rPr>
      </w:pPr>
      <w:r>
        <w:rPr>
          <w:sz w:val="22"/>
          <w:szCs w:val="22"/>
        </w:rPr>
        <w:lastRenderedPageBreak/>
        <w:t xml:space="preserve">As per this agreement if NW indicates the RACH preamble or RACH occasion corresponds to SSB which was </w:t>
      </w:r>
      <w:r w:rsidR="009F33A6">
        <w:rPr>
          <w:sz w:val="22"/>
          <w:szCs w:val="22"/>
        </w:rPr>
        <w:t xml:space="preserve">in </w:t>
      </w:r>
      <w:r w:rsidR="0061406C">
        <w:rPr>
          <w:sz w:val="22"/>
          <w:szCs w:val="22"/>
        </w:rPr>
        <w:t xml:space="preserve">the </w:t>
      </w:r>
      <w:r w:rsidR="009F33A6">
        <w:rPr>
          <w:sz w:val="22"/>
          <w:szCs w:val="22"/>
        </w:rPr>
        <w:t xml:space="preserve">active TCI state list, </w:t>
      </w:r>
      <w:r w:rsidR="0061406C">
        <w:rPr>
          <w:sz w:val="22"/>
          <w:szCs w:val="22"/>
        </w:rPr>
        <w:t xml:space="preserve">and if </w:t>
      </w:r>
      <w:r w:rsidR="00A86CF1">
        <w:rPr>
          <w:sz w:val="22"/>
          <w:szCs w:val="22"/>
        </w:rPr>
        <w:t>the measurement period of L1-RSRP is not longer than 160ms, UE do not need additional SSB</w:t>
      </w:r>
      <w:r w:rsidR="00C17A3C">
        <w:rPr>
          <w:sz w:val="22"/>
          <w:szCs w:val="22"/>
        </w:rPr>
        <w:t xml:space="preserve"> for fine time tracking before transmitting </w:t>
      </w:r>
      <w:r w:rsidR="00E17457">
        <w:rPr>
          <w:sz w:val="22"/>
          <w:szCs w:val="22"/>
        </w:rPr>
        <w:t xml:space="preserve">the RACH preamble. One of the open </w:t>
      </w:r>
      <w:r w:rsidR="005C16F1">
        <w:rPr>
          <w:sz w:val="22"/>
          <w:szCs w:val="22"/>
        </w:rPr>
        <w:t>issues</w:t>
      </w:r>
      <w:r w:rsidR="00E17457">
        <w:rPr>
          <w:sz w:val="22"/>
          <w:szCs w:val="22"/>
        </w:rPr>
        <w:t xml:space="preserve"> was if NW indicated other SSB than the </w:t>
      </w:r>
      <w:r w:rsidR="005C19A7">
        <w:rPr>
          <w:sz w:val="22"/>
          <w:szCs w:val="22"/>
        </w:rPr>
        <w:t xml:space="preserve">SSB corresponding to </w:t>
      </w:r>
      <w:r w:rsidR="00E17457">
        <w:rPr>
          <w:sz w:val="22"/>
          <w:szCs w:val="22"/>
        </w:rPr>
        <w:t xml:space="preserve">activated TCI, </w:t>
      </w:r>
      <w:r w:rsidR="00D0072E">
        <w:rPr>
          <w:sz w:val="22"/>
          <w:szCs w:val="22"/>
        </w:rPr>
        <w:t>does</w:t>
      </w:r>
      <w:r w:rsidR="00E17457">
        <w:rPr>
          <w:sz w:val="22"/>
          <w:szCs w:val="22"/>
        </w:rPr>
        <w:t xml:space="preserve"> the UE need additional time for </w:t>
      </w:r>
      <w:r w:rsidR="00D0072E">
        <w:rPr>
          <w:sz w:val="22"/>
          <w:szCs w:val="22"/>
        </w:rPr>
        <w:t xml:space="preserve">fine time </w:t>
      </w:r>
      <w:r w:rsidR="00E17457">
        <w:rPr>
          <w:sz w:val="22"/>
          <w:szCs w:val="22"/>
        </w:rPr>
        <w:t>tracking</w:t>
      </w:r>
      <w:r w:rsidR="00D0072E">
        <w:rPr>
          <w:sz w:val="22"/>
          <w:szCs w:val="22"/>
        </w:rPr>
        <w:t>.</w:t>
      </w:r>
      <w:r w:rsidR="00317A02">
        <w:rPr>
          <w:sz w:val="22"/>
          <w:szCs w:val="22"/>
        </w:rPr>
        <w:t xml:space="preserve"> </w:t>
      </w:r>
      <w:r w:rsidR="00640485">
        <w:rPr>
          <w:sz w:val="22"/>
          <w:szCs w:val="22"/>
        </w:rPr>
        <w:t>In MIMO</w:t>
      </w:r>
      <w:r w:rsidR="00317A02">
        <w:rPr>
          <w:sz w:val="22"/>
          <w:szCs w:val="22"/>
        </w:rPr>
        <w:t xml:space="preserve"> multi-TRP</w:t>
      </w:r>
      <w:r w:rsidR="00640485">
        <w:rPr>
          <w:sz w:val="22"/>
          <w:szCs w:val="22"/>
        </w:rPr>
        <w:t>,</w:t>
      </w:r>
      <w:r w:rsidR="00317A02">
        <w:rPr>
          <w:sz w:val="22"/>
          <w:szCs w:val="22"/>
        </w:rPr>
        <w:t xml:space="preserve"> </w:t>
      </w:r>
      <w:r w:rsidR="003110D7">
        <w:rPr>
          <w:sz w:val="22"/>
          <w:szCs w:val="22"/>
        </w:rPr>
        <w:t xml:space="preserve">different SSB can be transmitted from different </w:t>
      </w:r>
      <w:r w:rsidR="00640485">
        <w:rPr>
          <w:sz w:val="22"/>
          <w:szCs w:val="22"/>
        </w:rPr>
        <w:t xml:space="preserve">TRP. </w:t>
      </w:r>
      <w:r w:rsidR="004D3E2E">
        <w:rPr>
          <w:sz w:val="22"/>
          <w:szCs w:val="22"/>
        </w:rPr>
        <w:t>However,</w:t>
      </w:r>
      <w:r w:rsidR="00640485">
        <w:rPr>
          <w:sz w:val="22"/>
          <w:szCs w:val="22"/>
        </w:rPr>
        <w:t xml:space="preserve"> for mobility, </w:t>
      </w:r>
      <w:r w:rsidR="00317A02">
        <w:rPr>
          <w:sz w:val="22"/>
          <w:szCs w:val="22"/>
        </w:rPr>
        <w:t xml:space="preserve">all the SSB are </w:t>
      </w:r>
      <w:r w:rsidR="004D3E2E">
        <w:rPr>
          <w:sz w:val="22"/>
          <w:szCs w:val="22"/>
        </w:rPr>
        <w:t xml:space="preserve">assumed to be </w:t>
      </w:r>
      <w:r w:rsidR="00317A02">
        <w:rPr>
          <w:sz w:val="22"/>
          <w:szCs w:val="22"/>
        </w:rPr>
        <w:t xml:space="preserve">transmitted from the same </w:t>
      </w:r>
      <w:r w:rsidR="00506080">
        <w:rPr>
          <w:sz w:val="22"/>
          <w:szCs w:val="22"/>
        </w:rPr>
        <w:t>TRP.</w:t>
      </w:r>
      <w:r w:rsidR="00595CF6">
        <w:rPr>
          <w:sz w:val="22"/>
          <w:szCs w:val="22"/>
        </w:rPr>
        <w:t xml:space="preserve"> </w:t>
      </w:r>
    </w:p>
    <w:p w14:paraId="3B3A06D8" w14:textId="3853BE00" w:rsidR="007A220E" w:rsidRDefault="004A4293" w:rsidP="00206DB0">
      <w:pPr>
        <w:rPr>
          <w:sz w:val="22"/>
          <w:szCs w:val="22"/>
        </w:rPr>
      </w:pPr>
      <w:r>
        <w:rPr>
          <w:sz w:val="22"/>
          <w:szCs w:val="22"/>
        </w:rPr>
        <w:t>As</w:t>
      </w:r>
      <w:r w:rsidR="004D3E2E">
        <w:rPr>
          <w:sz w:val="22"/>
          <w:szCs w:val="22"/>
        </w:rPr>
        <w:t xml:space="preserve"> per the </w:t>
      </w:r>
      <w:r w:rsidR="00FF627D">
        <w:rPr>
          <w:sz w:val="22"/>
          <w:szCs w:val="22"/>
        </w:rPr>
        <w:t xml:space="preserve">existing timing error, </w:t>
      </w:r>
      <w:r w:rsidR="004D3E2E">
        <w:rPr>
          <w:sz w:val="22"/>
          <w:szCs w:val="22"/>
        </w:rPr>
        <w:t>U</w:t>
      </w:r>
      <w:r w:rsidR="00E16751">
        <w:rPr>
          <w:sz w:val="22"/>
          <w:szCs w:val="22"/>
        </w:rPr>
        <w:t xml:space="preserve">E </w:t>
      </w:r>
      <w:r w:rsidR="004D3E2E">
        <w:rPr>
          <w:sz w:val="22"/>
          <w:szCs w:val="22"/>
        </w:rPr>
        <w:t xml:space="preserve">is allowed to detect path </w:t>
      </w:r>
      <w:r w:rsidR="00E16751">
        <w:rPr>
          <w:sz w:val="22"/>
          <w:szCs w:val="22"/>
        </w:rPr>
        <w:t xml:space="preserve">with </w:t>
      </w:r>
      <w:r w:rsidR="00912536">
        <w:rPr>
          <w:sz w:val="22"/>
          <w:szCs w:val="22"/>
        </w:rPr>
        <w:t>up to</w:t>
      </w:r>
      <w:r w:rsidR="00FF627D">
        <w:rPr>
          <w:sz w:val="22"/>
          <w:szCs w:val="22"/>
        </w:rPr>
        <w:t xml:space="preserve"> 1</w:t>
      </w:r>
      <w:r w:rsidR="00912536">
        <w:rPr>
          <w:sz w:val="22"/>
          <w:szCs w:val="22"/>
        </w:rPr>
        <w:t xml:space="preserve">15 meters </w:t>
      </w:r>
      <w:r w:rsidR="00E16751">
        <w:rPr>
          <w:sz w:val="22"/>
          <w:szCs w:val="22"/>
        </w:rPr>
        <w:t>accuracy. That means</w:t>
      </w:r>
      <w:r w:rsidR="002E305C">
        <w:rPr>
          <w:sz w:val="22"/>
          <w:szCs w:val="22"/>
        </w:rPr>
        <w:t xml:space="preserve">, even if the propagation delay difference is </w:t>
      </w:r>
      <w:r w:rsidR="003700C7">
        <w:rPr>
          <w:sz w:val="22"/>
          <w:szCs w:val="22"/>
        </w:rPr>
        <w:t>up to</w:t>
      </w:r>
      <w:r w:rsidR="002E305C">
        <w:rPr>
          <w:sz w:val="22"/>
          <w:szCs w:val="22"/>
        </w:rPr>
        <w:t xml:space="preserve"> 115mts, </w:t>
      </w:r>
      <w:r w:rsidR="00912536">
        <w:rPr>
          <w:sz w:val="22"/>
          <w:szCs w:val="22"/>
        </w:rPr>
        <w:t>UE will meet the</w:t>
      </w:r>
      <w:r w:rsidR="001E3D39">
        <w:rPr>
          <w:sz w:val="22"/>
          <w:szCs w:val="22"/>
        </w:rPr>
        <w:t xml:space="preserve"> timing error requirements. </w:t>
      </w:r>
      <w:r w:rsidR="007C0785">
        <w:rPr>
          <w:sz w:val="22"/>
          <w:szCs w:val="22"/>
        </w:rPr>
        <w:t>We think in both FR1 and FR2, propagation delay difference between different SSB may not be more than 115 m</w:t>
      </w:r>
      <w:r w:rsidR="00EB5C73">
        <w:rPr>
          <w:sz w:val="22"/>
          <w:szCs w:val="22"/>
        </w:rPr>
        <w:t>et</w:t>
      </w:r>
      <w:r w:rsidR="008F5667">
        <w:rPr>
          <w:sz w:val="22"/>
          <w:szCs w:val="22"/>
        </w:rPr>
        <w:t>er</w:t>
      </w:r>
      <w:r w:rsidR="007C0785">
        <w:rPr>
          <w:sz w:val="22"/>
          <w:szCs w:val="22"/>
        </w:rPr>
        <w:t xml:space="preserve">s for most </w:t>
      </w:r>
      <w:r w:rsidR="00224976">
        <w:rPr>
          <w:sz w:val="22"/>
          <w:szCs w:val="22"/>
        </w:rPr>
        <w:t xml:space="preserve">practical cases. </w:t>
      </w:r>
    </w:p>
    <w:p w14:paraId="34FC7978" w14:textId="2FD9F5B3" w:rsidR="00C0045C" w:rsidRDefault="00224976" w:rsidP="00206DB0">
      <w:pPr>
        <w:rPr>
          <w:sz w:val="22"/>
          <w:szCs w:val="22"/>
        </w:rPr>
      </w:pPr>
      <w:r>
        <w:rPr>
          <w:sz w:val="22"/>
          <w:szCs w:val="22"/>
        </w:rPr>
        <w:t>Further, s</w:t>
      </w:r>
      <w:r w:rsidR="00A36A21">
        <w:rPr>
          <w:sz w:val="22"/>
          <w:szCs w:val="22"/>
        </w:rPr>
        <w:t xml:space="preserve">ince the number </w:t>
      </w:r>
      <w:r w:rsidR="00271F53">
        <w:rPr>
          <w:sz w:val="22"/>
          <w:szCs w:val="22"/>
        </w:rPr>
        <w:t xml:space="preserve">of </w:t>
      </w:r>
      <w:r w:rsidR="00A36A21" w:rsidRPr="001D4368">
        <w:rPr>
          <w:sz w:val="22"/>
          <w:szCs w:val="22"/>
          <w:highlight w:val="yellow"/>
        </w:rPr>
        <w:t>SSB that can be activated in active TCI state list</w:t>
      </w:r>
      <w:r w:rsidR="009461AF" w:rsidRPr="001D4368">
        <w:rPr>
          <w:sz w:val="22"/>
          <w:szCs w:val="22"/>
          <w:highlight w:val="yellow"/>
        </w:rPr>
        <w:t xml:space="preserve"> is </w:t>
      </w:r>
      <w:r w:rsidRPr="001D4368">
        <w:rPr>
          <w:sz w:val="22"/>
          <w:szCs w:val="22"/>
          <w:highlight w:val="yellow"/>
        </w:rPr>
        <w:t>very low</w:t>
      </w:r>
      <w:r>
        <w:rPr>
          <w:sz w:val="22"/>
          <w:szCs w:val="22"/>
        </w:rPr>
        <w:t xml:space="preserve"> </w:t>
      </w:r>
      <w:r w:rsidR="00C71B5C">
        <w:rPr>
          <w:sz w:val="22"/>
          <w:szCs w:val="22"/>
        </w:rPr>
        <w:t>(hardly it may be one or two for neighbour cells)</w:t>
      </w:r>
      <w:r w:rsidR="009461AF">
        <w:rPr>
          <w:sz w:val="22"/>
          <w:szCs w:val="22"/>
        </w:rPr>
        <w:t xml:space="preserve">, and the PDCCH </w:t>
      </w:r>
      <w:r w:rsidR="00F677E9">
        <w:rPr>
          <w:sz w:val="22"/>
          <w:szCs w:val="22"/>
        </w:rPr>
        <w:t>order-based</w:t>
      </w:r>
      <w:r w:rsidR="009461AF">
        <w:rPr>
          <w:sz w:val="22"/>
          <w:szCs w:val="22"/>
        </w:rPr>
        <w:t xml:space="preserve"> RACH indication </w:t>
      </w:r>
      <w:r w:rsidR="00F677E9">
        <w:rPr>
          <w:sz w:val="22"/>
          <w:szCs w:val="22"/>
        </w:rPr>
        <w:t>need not be</w:t>
      </w:r>
      <w:r w:rsidR="009461AF">
        <w:rPr>
          <w:sz w:val="22"/>
          <w:szCs w:val="22"/>
        </w:rPr>
        <w:t xml:space="preserve"> entirely based on the </w:t>
      </w:r>
      <w:r w:rsidR="00FB1716">
        <w:rPr>
          <w:sz w:val="22"/>
          <w:szCs w:val="22"/>
        </w:rPr>
        <w:t xml:space="preserve">strongest SSB </w:t>
      </w:r>
      <w:r w:rsidR="00A03C8F">
        <w:rPr>
          <w:sz w:val="22"/>
          <w:szCs w:val="22"/>
        </w:rPr>
        <w:t>alone,</w:t>
      </w:r>
      <w:r w:rsidR="00FB1716">
        <w:rPr>
          <w:sz w:val="22"/>
          <w:szCs w:val="22"/>
        </w:rPr>
        <w:t xml:space="preserve"> </w:t>
      </w:r>
      <w:r w:rsidR="007A3145">
        <w:rPr>
          <w:sz w:val="22"/>
          <w:szCs w:val="22"/>
        </w:rPr>
        <w:t xml:space="preserve">if the two SSB RRSP are within close range, NW can indicate </w:t>
      </w:r>
      <w:r w:rsidR="00E9367D">
        <w:rPr>
          <w:sz w:val="22"/>
          <w:szCs w:val="22"/>
        </w:rPr>
        <w:t>e</w:t>
      </w:r>
      <w:r w:rsidR="007A3145">
        <w:rPr>
          <w:sz w:val="22"/>
          <w:szCs w:val="22"/>
        </w:rPr>
        <w:t xml:space="preserve">ither of the SSB for RACH </w:t>
      </w:r>
      <w:r w:rsidR="008C3288">
        <w:rPr>
          <w:sz w:val="22"/>
          <w:szCs w:val="22"/>
        </w:rPr>
        <w:t xml:space="preserve">depending on </w:t>
      </w:r>
      <w:r w:rsidR="00FB1716">
        <w:rPr>
          <w:sz w:val="22"/>
          <w:szCs w:val="22"/>
        </w:rPr>
        <w:t xml:space="preserve">which SSB RACH occasion </w:t>
      </w:r>
      <w:r w:rsidR="008C3288">
        <w:rPr>
          <w:sz w:val="22"/>
          <w:szCs w:val="22"/>
        </w:rPr>
        <w:t xml:space="preserve">comes first after the PDCH order. </w:t>
      </w:r>
    </w:p>
    <w:p w14:paraId="2720679F" w14:textId="0C42754C" w:rsidR="00A36A21" w:rsidRPr="00C0045C" w:rsidRDefault="00C0045C" w:rsidP="00D437AF">
      <w:pPr>
        <w:pStyle w:val="ListParagraph"/>
        <w:numPr>
          <w:ilvl w:val="0"/>
          <w:numId w:val="18"/>
        </w:numPr>
        <w:rPr>
          <w:sz w:val="22"/>
          <w:szCs w:val="22"/>
        </w:rPr>
      </w:pPr>
      <w:r w:rsidRPr="00C0045C">
        <w:rPr>
          <w:sz w:val="22"/>
          <w:szCs w:val="22"/>
        </w:rPr>
        <w:t>If SSB index indicated in PDCCH order is not in the active TCI state list that has been activated for the target cell, when the measurement period of L1-RSRP is no longer than 160</w:t>
      </w:r>
      <w:r w:rsidR="00295086" w:rsidRPr="00C0045C">
        <w:rPr>
          <w:sz w:val="22"/>
          <w:szCs w:val="22"/>
        </w:rPr>
        <w:t>ms, additional</w:t>
      </w:r>
      <w:r w:rsidRPr="00C0045C">
        <w:rPr>
          <w:sz w:val="22"/>
          <w:szCs w:val="22"/>
        </w:rPr>
        <w:t xml:space="preserve"> delay is </w:t>
      </w:r>
      <w:r w:rsidR="00295086">
        <w:rPr>
          <w:sz w:val="22"/>
          <w:szCs w:val="22"/>
        </w:rPr>
        <w:t xml:space="preserve">not needed for fine time tracking. </w:t>
      </w:r>
    </w:p>
    <w:p w14:paraId="4ADD0323" w14:textId="3F9C6FD6" w:rsidR="00A65B18" w:rsidRPr="00CD6396" w:rsidRDefault="00A65B18" w:rsidP="00CD6396">
      <w:pPr>
        <w:pStyle w:val="Heading3"/>
      </w:pPr>
      <w:r w:rsidRPr="00CD6396">
        <w:t>Pre-sync aspects for cell switch command</w:t>
      </w:r>
    </w:p>
    <w:p w14:paraId="626401C4" w14:textId="38D85464" w:rsidR="00AE01B8" w:rsidRPr="003F6EF6" w:rsidRDefault="00AC1679" w:rsidP="00206DB0">
      <w:pPr>
        <w:rPr>
          <w:sz w:val="22"/>
          <w:szCs w:val="22"/>
        </w:rPr>
      </w:pPr>
      <w:r w:rsidRPr="003F6EF6">
        <w:rPr>
          <w:sz w:val="22"/>
          <w:szCs w:val="22"/>
        </w:rPr>
        <w:t>For serving cell when the TCI states are activated</w:t>
      </w:r>
      <w:r w:rsidR="00657506">
        <w:rPr>
          <w:sz w:val="22"/>
          <w:szCs w:val="22"/>
        </w:rPr>
        <w:t>,</w:t>
      </w:r>
      <w:r w:rsidRPr="003F6EF6">
        <w:rPr>
          <w:sz w:val="22"/>
          <w:szCs w:val="22"/>
        </w:rPr>
        <w:t xml:space="preserve"> UE acquires the </w:t>
      </w:r>
      <w:r w:rsidR="00294CD7" w:rsidRPr="003F6EF6">
        <w:rPr>
          <w:sz w:val="22"/>
          <w:szCs w:val="22"/>
        </w:rPr>
        <w:t xml:space="preserve">spatial </w:t>
      </w:r>
      <w:r w:rsidR="005F1847" w:rsidRPr="003F6EF6">
        <w:rPr>
          <w:sz w:val="22"/>
          <w:szCs w:val="22"/>
        </w:rPr>
        <w:t xml:space="preserve">filter </w:t>
      </w:r>
      <w:r w:rsidR="00294CD7" w:rsidRPr="003F6EF6">
        <w:rPr>
          <w:sz w:val="22"/>
          <w:szCs w:val="22"/>
        </w:rPr>
        <w:t xml:space="preserve">and timing </w:t>
      </w:r>
      <w:r w:rsidR="002218D2" w:rsidRPr="003F6EF6">
        <w:rPr>
          <w:sz w:val="22"/>
          <w:szCs w:val="22"/>
        </w:rPr>
        <w:t>information so that these TCI states can be scheduled</w:t>
      </w:r>
      <w:r w:rsidR="007275FD" w:rsidRPr="003F6EF6">
        <w:rPr>
          <w:sz w:val="22"/>
          <w:szCs w:val="22"/>
        </w:rPr>
        <w:t xml:space="preserve"> without much delay</w:t>
      </w:r>
      <w:r w:rsidR="00E4792B" w:rsidRPr="003F6EF6">
        <w:rPr>
          <w:sz w:val="22"/>
          <w:szCs w:val="22"/>
        </w:rPr>
        <w:t xml:space="preserve">. Similarly for the target cells when NW activates TCI states before the cell switch command, NW expectation is </w:t>
      </w:r>
      <w:r w:rsidR="00904BFE" w:rsidRPr="003F6EF6">
        <w:rPr>
          <w:sz w:val="22"/>
          <w:szCs w:val="22"/>
        </w:rPr>
        <w:t xml:space="preserve">that </w:t>
      </w:r>
      <w:r w:rsidR="00E4792B" w:rsidRPr="003F6EF6">
        <w:rPr>
          <w:sz w:val="22"/>
          <w:szCs w:val="22"/>
        </w:rPr>
        <w:t xml:space="preserve">UE would be maintaining the TCI states </w:t>
      </w:r>
      <w:proofErr w:type="gramStart"/>
      <w:r w:rsidR="00E4792B" w:rsidRPr="003F6EF6">
        <w:rPr>
          <w:sz w:val="22"/>
          <w:szCs w:val="22"/>
        </w:rPr>
        <w:t>similar to</w:t>
      </w:r>
      <w:proofErr w:type="gramEnd"/>
      <w:r w:rsidR="00E4792B" w:rsidRPr="003F6EF6">
        <w:rPr>
          <w:sz w:val="22"/>
          <w:szCs w:val="22"/>
        </w:rPr>
        <w:t xml:space="preserve"> serving cells</w:t>
      </w:r>
      <w:r w:rsidR="00B308D9" w:rsidRPr="003F6EF6">
        <w:rPr>
          <w:sz w:val="22"/>
          <w:szCs w:val="22"/>
        </w:rPr>
        <w:t xml:space="preserve"> once the target cells TCI states are activated.</w:t>
      </w:r>
      <w:r w:rsidR="00542768" w:rsidRPr="003F6EF6">
        <w:rPr>
          <w:sz w:val="22"/>
          <w:szCs w:val="22"/>
        </w:rPr>
        <w:t xml:space="preserve"> </w:t>
      </w:r>
      <w:r w:rsidR="00437882">
        <w:rPr>
          <w:sz w:val="22"/>
          <w:szCs w:val="22"/>
        </w:rPr>
        <w:t>Hence, w</w:t>
      </w:r>
      <w:r w:rsidR="00437882" w:rsidRPr="003F6EF6">
        <w:rPr>
          <w:sz w:val="22"/>
          <w:szCs w:val="22"/>
        </w:rPr>
        <w:t>hen TCI state is activated for candidate cell, UE need to acquire or maintain DL synchronisation so that NW can schedule UE without additional delay after the cell switch command.</w:t>
      </w:r>
    </w:p>
    <w:p w14:paraId="2F7C445F" w14:textId="77777777" w:rsidR="007D7132" w:rsidRPr="003F6EF6" w:rsidRDefault="000D7ACD" w:rsidP="00206DB0">
      <w:pPr>
        <w:rPr>
          <w:sz w:val="22"/>
          <w:szCs w:val="22"/>
        </w:rPr>
      </w:pPr>
      <w:r w:rsidRPr="003F6EF6">
        <w:rPr>
          <w:sz w:val="22"/>
          <w:szCs w:val="22"/>
        </w:rPr>
        <w:t>UE needs SSB occasions to track the T/F</w:t>
      </w:r>
      <w:r w:rsidR="002452A2" w:rsidRPr="003F6EF6">
        <w:rPr>
          <w:sz w:val="22"/>
          <w:szCs w:val="22"/>
        </w:rPr>
        <w:t xml:space="preserve"> </w:t>
      </w:r>
      <w:r w:rsidR="00BF106C" w:rsidRPr="003F6EF6">
        <w:rPr>
          <w:sz w:val="22"/>
          <w:szCs w:val="22"/>
        </w:rPr>
        <w:t>for</w:t>
      </w:r>
      <w:r w:rsidR="002452A2" w:rsidRPr="003F6EF6">
        <w:rPr>
          <w:sz w:val="22"/>
          <w:szCs w:val="22"/>
        </w:rPr>
        <w:t xml:space="preserve"> the activated TCI states</w:t>
      </w:r>
      <w:r w:rsidRPr="003F6EF6">
        <w:rPr>
          <w:sz w:val="22"/>
          <w:szCs w:val="22"/>
        </w:rPr>
        <w:t xml:space="preserve"> and the SSB occasions are </w:t>
      </w:r>
      <w:r w:rsidR="00494D24" w:rsidRPr="003F6EF6">
        <w:rPr>
          <w:sz w:val="22"/>
          <w:szCs w:val="22"/>
        </w:rPr>
        <w:t xml:space="preserve">also used for L3 and L1-RSRP measurement. </w:t>
      </w:r>
      <w:r w:rsidR="008C57A5" w:rsidRPr="003F6EF6">
        <w:rPr>
          <w:sz w:val="22"/>
          <w:szCs w:val="22"/>
        </w:rPr>
        <w:t xml:space="preserve">In FR1 UE can measure SSB on the serving cells one layer at a time. </w:t>
      </w:r>
      <w:r w:rsidR="00915756" w:rsidRPr="003F6EF6">
        <w:rPr>
          <w:sz w:val="22"/>
          <w:szCs w:val="22"/>
        </w:rPr>
        <w:t>When UE is configured with more than</w:t>
      </w:r>
      <w:r w:rsidR="00ED4F4E" w:rsidRPr="003F6EF6">
        <w:rPr>
          <w:sz w:val="22"/>
          <w:szCs w:val="22"/>
        </w:rPr>
        <w:t xml:space="preserve"> one </w:t>
      </w:r>
      <w:r w:rsidR="009E5F45" w:rsidRPr="003F6EF6">
        <w:rPr>
          <w:sz w:val="22"/>
          <w:szCs w:val="22"/>
        </w:rPr>
        <w:t xml:space="preserve">layer for </w:t>
      </w:r>
      <w:r w:rsidR="007A706A" w:rsidRPr="003F6EF6">
        <w:rPr>
          <w:sz w:val="22"/>
          <w:szCs w:val="22"/>
        </w:rPr>
        <w:t>measurement</w:t>
      </w:r>
      <w:r w:rsidR="00E263DC" w:rsidRPr="003F6EF6">
        <w:rPr>
          <w:sz w:val="22"/>
          <w:szCs w:val="22"/>
        </w:rPr>
        <w:t>,</w:t>
      </w:r>
      <w:r w:rsidR="007A706A" w:rsidRPr="003F6EF6">
        <w:rPr>
          <w:sz w:val="22"/>
          <w:szCs w:val="22"/>
        </w:rPr>
        <w:t xml:space="preserve"> as</w:t>
      </w:r>
      <w:r w:rsidR="00D47A7D" w:rsidRPr="003F6EF6">
        <w:rPr>
          <w:sz w:val="22"/>
          <w:szCs w:val="22"/>
        </w:rPr>
        <w:t xml:space="preserve"> per </w:t>
      </w:r>
      <w:r w:rsidR="00734A96" w:rsidRPr="003F6EF6">
        <w:rPr>
          <w:sz w:val="22"/>
          <w:szCs w:val="22"/>
        </w:rPr>
        <w:t xml:space="preserve">existing </w:t>
      </w:r>
      <w:r w:rsidR="00E263DC" w:rsidRPr="003F6EF6">
        <w:rPr>
          <w:sz w:val="22"/>
          <w:szCs w:val="22"/>
        </w:rPr>
        <w:t xml:space="preserve">SSB occasion </w:t>
      </w:r>
      <w:r w:rsidR="00734A96" w:rsidRPr="003F6EF6">
        <w:rPr>
          <w:sz w:val="22"/>
          <w:szCs w:val="22"/>
        </w:rPr>
        <w:t xml:space="preserve">sharing framework, on 2 occasions UE measures L3 and </w:t>
      </w:r>
      <w:r w:rsidR="00A062CC" w:rsidRPr="003F6EF6">
        <w:rPr>
          <w:sz w:val="22"/>
          <w:szCs w:val="22"/>
        </w:rPr>
        <w:t xml:space="preserve">on one occasion UE measure L1. </w:t>
      </w:r>
      <w:r w:rsidR="00E263DC" w:rsidRPr="003F6EF6">
        <w:rPr>
          <w:sz w:val="22"/>
          <w:szCs w:val="22"/>
        </w:rPr>
        <w:t xml:space="preserve">Further, since UE </w:t>
      </w:r>
      <w:r w:rsidR="00BF106C" w:rsidRPr="003F6EF6">
        <w:rPr>
          <w:sz w:val="22"/>
          <w:szCs w:val="22"/>
        </w:rPr>
        <w:t>must</w:t>
      </w:r>
      <w:r w:rsidR="00E263DC" w:rsidRPr="003F6EF6">
        <w:rPr>
          <w:sz w:val="22"/>
          <w:szCs w:val="22"/>
        </w:rPr>
        <w:t xml:space="preserve"> measure </w:t>
      </w:r>
      <w:r w:rsidR="009536AA" w:rsidRPr="003F6EF6">
        <w:rPr>
          <w:sz w:val="22"/>
          <w:szCs w:val="22"/>
        </w:rPr>
        <w:t>L1 for serving and neighbours configured with LTM, this o</w:t>
      </w:r>
      <w:r w:rsidR="00A062CC" w:rsidRPr="003F6EF6">
        <w:rPr>
          <w:sz w:val="22"/>
          <w:szCs w:val="22"/>
        </w:rPr>
        <w:t xml:space="preserve">ne SSB occasion for L1 may have to be shared with </w:t>
      </w:r>
      <w:r w:rsidR="007A706A" w:rsidRPr="003F6EF6">
        <w:rPr>
          <w:sz w:val="22"/>
          <w:szCs w:val="22"/>
        </w:rPr>
        <w:t>serving cell and other neighbour cells.</w:t>
      </w:r>
      <w:r w:rsidR="005323DF" w:rsidRPr="003F6EF6">
        <w:rPr>
          <w:sz w:val="22"/>
          <w:szCs w:val="22"/>
        </w:rPr>
        <w:t xml:space="preserve"> </w:t>
      </w:r>
      <w:r w:rsidR="00BF106C" w:rsidRPr="003F6EF6">
        <w:rPr>
          <w:sz w:val="22"/>
          <w:szCs w:val="22"/>
        </w:rPr>
        <w:t xml:space="preserve">To understand the </w:t>
      </w:r>
      <w:r w:rsidR="00FF2332" w:rsidRPr="003F6EF6">
        <w:rPr>
          <w:sz w:val="22"/>
          <w:szCs w:val="22"/>
        </w:rPr>
        <w:t xml:space="preserve">above principles from the </w:t>
      </w:r>
      <w:r w:rsidR="00BF106C" w:rsidRPr="003F6EF6">
        <w:rPr>
          <w:sz w:val="22"/>
          <w:szCs w:val="22"/>
        </w:rPr>
        <w:t xml:space="preserve">delay </w:t>
      </w:r>
      <w:r w:rsidR="005323DF" w:rsidRPr="003F6EF6">
        <w:rPr>
          <w:sz w:val="22"/>
          <w:szCs w:val="22"/>
        </w:rPr>
        <w:t>perspective</w:t>
      </w:r>
      <w:r w:rsidR="00BF106C" w:rsidRPr="003F6EF6">
        <w:rPr>
          <w:sz w:val="22"/>
          <w:szCs w:val="22"/>
        </w:rPr>
        <w:t xml:space="preserve"> we </w:t>
      </w:r>
      <w:r w:rsidR="00B5186C" w:rsidRPr="003F6EF6">
        <w:rPr>
          <w:sz w:val="22"/>
          <w:szCs w:val="22"/>
        </w:rPr>
        <w:t xml:space="preserve">consider following examples. </w:t>
      </w:r>
    </w:p>
    <w:p w14:paraId="50A05742" w14:textId="149B0EB8" w:rsidR="003964C2" w:rsidRPr="003F6EF6" w:rsidRDefault="00B5186C" w:rsidP="00206DB0">
      <w:pPr>
        <w:rPr>
          <w:sz w:val="22"/>
          <w:szCs w:val="22"/>
        </w:rPr>
      </w:pPr>
      <w:r w:rsidRPr="003F6EF6">
        <w:rPr>
          <w:sz w:val="22"/>
          <w:szCs w:val="22"/>
        </w:rPr>
        <w:t xml:space="preserve">For </w:t>
      </w:r>
      <w:r w:rsidR="005F658B" w:rsidRPr="003F6EF6">
        <w:rPr>
          <w:sz w:val="22"/>
          <w:szCs w:val="22"/>
        </w:rPr>
        <w:t>SSB periodicity of 20ms, L1 measurement can be performed once every 60ms</w:t>
      </w:r>
      <w:r w:rsidRPr="003F6EF6">
        <w:rPr>
          <w:sz w:val="22"/>
          <w:szCs w:val="22"/>
        </w:rPr>
        <w:t xml:space="preserve"> as per current sharing framework</w:t>
      </w:r>
      <w:r w:rsidR="005F658B" w:rsidRPr="003F6EF6">
        <w:rPr>
          <w:sz w:val="22"/>
          <w:szCs w:val="22"/>
        </w:rPr>
        <w:t xml:space="preserve">. </w:t>
      </w:r>
      <w:r w:rsidR="002A336B" w:rsidRPr="003F6EF6">
        <w:rPr>
          <w:sz w:val="22"/>
          <w:szCs w:val="22"/>
        </w:rPr>
        <w:t xml:space="preserve">When SSB occasions </w:t>
      </w:r>
      <w:r w:rsidR="007A4271" w:rsidRPr="003F6EF6">
        <w:rPr>
          <w:sz w:val="22"/>
          <w:szCs w:val="22"/>
        </w:rPr>
        <w:t xml:space="preserve">of neighbour cells </w:t>
      </w:r>
      <w:r w:rsidR="002A336B" w:rsidRPr="003F6EF6">
        <w:rPr>
          <w:sz w:val="22"/>
          <w:szCs w:val="22"/>
        </w:rPr>
        <w:t xml:space="preserve">are overlapping, </w:t>
      </w:r>
      <w:r w:rsidR="00143A1F" w:rsidRPr="003F6EF6">
        <w:rPr>
          <w:sz w:val="22"/>
          <w:szCs w:val="22"/>
        </w:rPr>
        <w:t xml:space="preserve">if more than </w:t>
      </w:r>
      <w:r w:rsidR="0057367A" w:rsidRPr="003F6EF6">
        <w:rPr>
          <w:sz w:val="22"/>
          <w:szCs w:val="22"/>
        </w:rPr>
        <w:t>one frequency layer is configured, measurement time will scale with number of layers</w:t>
      </w:r>
      <w:r w:rsidR="00E82F69" w:rsidRPr="003F6EF6">
        <w:rPr>
          <w:sz w:val="22"/>
          <w:szCs w:val="22"/>
        </w:rPr>
        <w:t xml:space="preserve">. </w:t>
      </w:r>
      <w:r w:rsidR="009D29C1" w:rsidRPr="003F6EF6">
        <w:rPr>
          <w:sz w:val="22"/>
          <w:szCs w:val="22"/>
        </w:rPr>
        <w:t>That means if 3 layers are co</w:t>
      </w:r>
      <w:r w:rsidR="00E12191" w:rsidRPr="003F6EF6">
        <w:rPr>
          <w:sz w:val="22"/>
          <w:szCs w:val="22"/>
        </w:rPr>
        <w:t xml:space="preserve">nfigured, UE can measure each </w:t>
      </w:r>
      <w:r w:rsidR="0059000D" w:rsidRPr="003F6EF6">
        <w:rPr>
          <w:sz w:val="22"/>
          <w:szCs w:val="22"/>
        </w:rPr>
        <w:t>layer</w:t>
      </w:r>
      <w:r w:rsidR="00E12191" w:rsidRPr="003F6EF6">
        <w:rPr>
          <w:sz w:val="22"/>
          <w:szCs w:val="22"/>
        </w:rPr>
        <w:t xml:space="preserve"> L1-RSRP once every 180ms. </w:t>
      </w:r>
      <w:r w:rsidR="002575AE" w:rsidRPr="003F6EF6">
        <w:rPr>
          <w:sz w:val="22"/>
          <w:szCs w:val="22"/>
        </w:rPr>
        <w:t xml:space="preserve">In offline discussion with companies, we understood that </w:t>
      </w:r>
      <w:r w:rsidR="0059000D" w:rsidRPr="003F6EF6">
        <w:rPr>
          <w:sz w:val="22"/>
          <w:szCs w:val="22"/>
        </w:rPr>
        <w:t xml:space="preserve">if the </w:t>
      </w:r>
      <w:r w:rsidR="0035698F" w:rsidRPr="003F6EF6">
        <w:rPr>
          <w:sz w:val="22"/>
          <w:szCs w:val="22"/>
        </w:rPr>
        <w:t xml:space="preserve">last </w:t>
      </w:r>
      <w:r w:rsidR="0059000D" w:rsidRPr="003F6EF6">
        <w:rPr>
          <w:sz w:val="22"/>
          <w:szCs w:val="22"/>
        </w:rPr>
        <w:t xml:space="preserve">L1-measurement is </w:t>
      </w:r>
      <w:r w:rsidR="0035698F" w:rsidRPr="003F6EF6">
        <w:rPr>
          <w:sz w:val="22"/>
          <w:szCs w:val="22"/>
        </w:rPr>
        <w:t xml:space="preserve">performed longer than 160ms, UE needs additional sample to perform T/F tracking when the PDCCH order </w:t>
      </w:r>
      <w:r w:rsidR="00FB4E35" w:rsidRPr="003F6EF6">
        <w:rPr>
          <w:sz w:val="22"/>
          <w:szCs w:val="22"/>
        </w:rPr>
        <w:t>received,</w:t>
      </w:r>
      <w:r w:rsidR="0035698F" w:rsidRPr="003F6EF6">
        <w:rPr>
          <w:sz w:val="22"/>
          <w:szCs w:val="22"/>
        </w:rPr>
        <w:t xml:space="preserve"> or cells witch command is received.  </w:t>
      </w:r>
      <w:r w:rsidR="00523263" w:rsidRPr="003F6EF6">
        <w:rPr>
          <w:sz w:val="22"/>
          <w:szCs w:val="22"/>
        </w:rPr>
        <w:t xml:space="preserve">Using equal sharing approach even though NW activates TCI state, </w:t>
      </w:r>
      <w:r w:rsidR="00B16496" w:rsidRPr="003F6EF6">
        <w:rPr>
          <w:sz w:val="22"/>
          <w:szCs w:val="22"/>
        </w:rPr>
        <w:t>NW is not aware of whether UE needs additional sample for T/F or not</w:t>
      </w:r>
      <w:r w:rsidR="007D7132" w:rsidRPr="003F6EF6">
        <w:rPr>
          <w:sz w:val="22"/>
          <w:szCs w:val="22"/>
        </w:rPr>
        <w:t>, which may not be disable from NW point of view</w:t>
      </w:r>
      <w:r w:rsidR="00D1388F" w:rsidRPr="003F6EF6">
        <w:rPr>
          <w:sz w:val="22"/>
          <w:szCs w:val="22"/>
        </w:rPr>
        <w:t xml:space="preserve"> for the following reason.</w:t>
      </w:r>
    </w:p>
    <w:p w14:paraId="0FCE899B" w14:textId="600BCC26" w:rsidR="00831ACD" w:rsidRPr="003F6EF6" w:rsidRDefault="00514F04" w:rsidP="00206DB0">
      <w:pPr>
        <w:rPr>
          <w:sz w:val="22"/>
          <w:szCs w:val="22"/>
        </w:rPr>
      </w:pPr>
      <w:r w:rsidRPr="003F6EF6">
        <w:rPr>
          <w:sz w:val="22"/>
          <w:szCs w:val="22"/>
        </w:rPr>
        <w:t xml:space="preserve">Number of active TCI states UE can support may be up to 8 and </w:t>
      </w:r>
      <w:r w:rsidR="00831ACD" w:rsidRPr="003F6EF6">
        <w:rPr>
          <w:sz w:val="22"/>
          <w:szCs w:val="22"/>
        </w:rPr>
        <w:t xml:space="preserve">NW may configure TCI state </w:t>
      </w:r>
      <w:r w:rsidR="00575AEC" w:rsidRPr="003F6EF6">
        <w:rPr>
          <w:sz w:val="22"/>
          <w:szCs w:val="22"/>
        </w:rPr>
        <w:t xml:space="preserve">of a neighbour cell in active TCI state list only when NW may be certain about UE handover to that cell. In this </w:t>
      </w:r>
      <w:r w:rsidR="00754C3C" w:rsidRPr="003F6EF6">
        <w:rPr>
          <w:sz w:val="22"/>
          <w:szCs w:val="22"/>
        </w:rPr>
        <w:t>scenario, it is beneficial for UE to track TCI state once in every 160ms at least.</w:t>
      </w:r>
      <w:r w:rsidR="0026450E" w:rsidRPr="003F6EF6">
        <w:rPr>
          <w:sz w:val="22"/>
          <w:szCs w:val="22"/>
        </w:rPr>
        <w:t xml:space="preserve"> </w:t>
      </w:r>
      <w:r w:rsidR="00600ACB" w:rsidRPr="003F6EF6">
        <w:rPr>
          <w:sz w:val="22"/>
          <w:szCs w:val="22"/>
        </w:rPr>
        <w:t xml:space="preserve">As analysed in the above example if more than 2 layers are configured, </w:t>
      </w:r>
      <w:r w:rsidR="009D059B" w:rsidRPr="003F6EF6">
        <w:rPr>
          <w:sz w:val="22"/>
          <w:szCs w:val="22"/>
        </w:rPr>
        <w:t xml:space="preserve">if the cells configured with TCI state activation is treated as any other layer, </w:t>
      </w:r>
      <w:r w:rsidR="00D72FC0" w:rsidRPr="003F6EF6">
        <w:rPr>
          <w:sz w:val="22"/>
          <w:szCs w:val="22"/>
        </w:rPr>
        <w:t xml:space="preserve">the usefulness NW configuring TCI state before is lost. </w:t>
      </w:r>
      <w:r w:rsidR="00230B4D" w:rsidRPr="003F6EF6">
        <w:rPr>
          <w:sz w:val="22"/>
          <w:szCs w:val="22"/>
        </w:rPr>
        <w:t>Hence,</w:t>
      </w:r>
      <w:r w:rsidR="00D72FC0" w:rsidRPr="003F6EF6">
        <w:rPr>
          <w:sz w:val="22"/>
          <w:szCs w:val="22"/>
        </w:rPr>
        <w:t xml:space="preserve"> we think it is beneficial if UE can prioritize the cell configured with TCI state activation. In other </w:t>
      </w:r>
      <w:r w:rsidR="00230B4D" w:rsidRPr="003F6EF6">
        <w:rPr>
          <w:sz w:val="22"/>
          <w:szCs w:val="22"/>
        </w:rPr>
        <w:t>words,</w:t>
      </w:r>
      <w:r w:rsidR="00D72FC0" w:rsidRPr="003F6EF6">
        <w:rPr>
          <w:sz w:val="22"/>
          <w:szCs w:val="22"/>
        </w:rPr>
        <w:t xml:space="preserve"> to guarantee predictable behaviour, we think </w:t>
      </w:r>
      <w:r w:rsidR="00230B4D" w:rsidRPr="003F6EF6">
        <w:rPr>
          <w:sz w:val="22"/>
          <w:szCs w:val="22"/>
        </w:rPr>
        <w:t xml:space="preserve">UE should make sure cell </w:t>
      </w:r>
      <w:r w:rsidR="00773252" w:rsidRPr="003F6EF6">
        <w:rPr>
          <w:sz w:val="22"/>
          <w:szCs w:val="22"/>
        </w:rPr>
        <w:t>configured</w:t>
      </w:r>
      <w:r w:rsidR="00230B4D" w:rsidRPr="003F6EF6">
        <w:rPr>
          <w:sz w:val="22"/>
          <w:szCs w:val="22"/>
        </w:rPr>
        <w:t xml:space="preserve"> with TCI state is tracked </w:t>
      </w:r>
      <w:r w:rsidR="00773252" w:rsidRPr="003F6EF6">
        <w:rPr>
          <w:sz w:val="22"/>
          <w:szCs w:val="22"/>
        </w:rPr>
        <w:t>at least</w:t>
      </w:r>
      <w:r w:rsidR="00230B4D" w:rsidRPr="003F6EF6">
        <w:rPr>
          <w:sz w:val="22"/>
          <w:szCs w:val="22"/>
        </w:rPr>
        <w:t xml:space="preserve"> once every 160ms. </w:t>
      </w:r>
    </w:p>
    <w:p w14:paraId="436613ED" w14:textId="45597CBB" w:rsidR="00206DB0" w:rsidRPr="003F6EF6" w:rsidRDefault="00C73803" w:rsidP="00D437AF">
      <w:pPr>
        <w:pStyle w:val="ListParagraph"/>
        <w:numPr>
          <w:ilvl w:val="0"/>
          <w:numId w:val="15"/>
        </w:numPr>
        <w:spacing w:after="120"/>
        <w:rPr>
          <w:sz w:val="22"/>
          <w:szCs w:val="22"/>
        </w:rPr>
      </w:pPr>
      <w:r w:rsidRPr="003F6EF6">
        <w:rPr>
          <w:sz w:val="22"/>
          <w:szCs w:val="22"/>
        </w:rPr>
        <w:t>If a TCI state is configured</w:t>
      </w:r>
      <w:r w:rsidR="006D044F" w:rsidRPr="003F6EF6">
        <w:rPr>
          <w:sz w:val="22"/>
          <w:szCs w:val="22"/>
        </w:rPr>
        <w:t xml:space="preserve"> in the active TCI state list, UE shall track the TCI state once in every 160ms to guarantee </w:t>
      </w:r>
      <w:r w:rsidR="00740D00" w:rsidRPr="003F6EF6">
        <w:rPr>
          <w:sz w:val="22"/>
          <w:szCs w:val="22"/>
        </w:rPr>
        <w:t xml:space="preserve">predictable </w:t>
      </w:r>
      <w:r w:rsidR="00F0766D">
        <w:rPr>
          <w:sz w:val="22"/>
          <w:szCs w:val="22"/>
        </w:rPr>
        <w:t>scheduling after</w:t>
      </w:r>
      <w:r w:rsidR="00740D00" w:rsidRPr="003F6EF6">
        <w:rPr>
          <w:sz w:val="22"/>
          <w:szCs w:val="22"/>
        </w:rPr>
        <w:t xml:space="preserve"> LTM HO. </w:t>
      </w:r>
    </w:p>
    <w:p w14:paraId="1753877D" w14:textId="41530ABA" w:rsidR="005D214B" w:rsidRPr="003F6EF6" w:rsidRDefault="00F72237" w:rsidP="00DD236D">
      <w:pPr>
        <w:rPr>
          <w:sz w:val="22"/>
          <w:szCs w:val="22"/>
        </w:rPr>
      </w:pPr>
      <w:r w:rsidRPr="003F6EF6">
        <w:rPr>
          <w:sz w:val="22"/>
          <w:szCs w:val="22"/>
        </w:rPr>
        <w:lastRenderedPageBreak/>
        <w:t xml:space="preserve">In offline discussion with companies, we understood that when UE performs L1-RSRP measurement on a cell, it can perform DL fine timing acquisition too and if the NW schedules PDCCH order or cell switch command within 160ms from the </w:t>
      </w:r>
      <w:r w:rsidR="00DD236D" w:rsidRPr="003F6EF6">
        <w:rPr>
          <w:sz w:val="22"/>
          <w:szCs w:val="22"/>
        </w:rPr>
        <w:t xml:space="preserve">L1 </w:t>
      </w:r>
      <w:r w:rsidRPr="003F6EF6">
        <w:rPr>
          <w:sz w:val="22"/>
          <w:szCs w:val="22"/>
        </w:rPr>
        <w:t xml:space="preserve">measurement, UE do not need additional time for fine time tracking. </w:t>
      </w:r>
      <w:r w:rsidR="00024FB7">
        <w:rPr>
          <w:sz w:val="22"/>
          <w:szCs w:val="22"/>
        </w:rPr>
        <w:t xml:space="preserve">However, </w:t>
      </w:r>
      <w:r w:rsidR="006C6603">
        <w:rPr>
          <w:sz w:val="22"/>
          <w:szCs w:val="22"/>
        </w:rPr>
        <w:t xml:space="preserve">UE may not need to </w:t>
      </w:r>
      <w:r w:rsidR="005E0EFF">
        <w:rPr>
          <w:sz w:val="22"/>
          <w:szCs w:val="22"/>
        </w:rPr>
        <w:t>store</w:t>
      </w:r>
      <w:r w:rsidR="006C6603">
        <w:rPr>
          <w:sz w:val="22"/>
          <w:szCs w:val="22"/>
        </w:rPr>
        <w:t xml:space="preserve"> the </w:t>
      </w:r>
      <w:r w:rsidR="005E0EFF">
        <w:rPr>
          <w:sz w:val="22"/>
          <w:szCs w:val="22"/>
        </w:rPr>
        <w:t xml:space="preserve">tracking for all the SSB or cells it tracks. </w:t>
      </w:r>
      <w:r w:rsidR="00D73AA7">
        <w:rPr>
          <w:sz w:val="22"/>
          <w:szCs w:val="22"/>
        </w:rPr>
        <w:t>However</w:t>
      </w:r>
      <w:r w:rsidR="000A75C0">
        <w:rPr>
          <w:sz w:val="22"/>
          <w:szCs w:val="22"/>
        </w:rPr>
        <w:t>,</w:t>
      </w:r>
      <w:r w:rsidR="00D73AA7">
        <w:rPr>
          <w:sz w:val="22"/>
          <w:szCs w:val="22"/>
        </w:rPr>
        <w:t xml:space="preserve"> we think UE shall be able </w:t>
      </w:r>
      <w:r w:rsidR="00F45414">
        <w:rPr>
          <w:sz w:val="22"/>
          <w:szCs w:val="22"/>
        </w:rPr>
        <w:t>store tracking for certain number of cells.</w:t>
      </w:r>
      <w:r w:rsidR="000A75C0">
        <w:rPr>
          <w:sz w:val="22"/>
          <w:szCs w:val="22"/>
        </w:rPr>
        <w:t xml:space="preserve"> RAN4 to define how many cells/SSB UE can store the </w:t>
      </w:r>
      <w:r w:rsidR="001A5936">
        <w:rPr>
          <w:sz w:val="22"/>
          <w:szCs w:val="22"/>
        </w:rPr>
        <w:t>tracking information</w:t>
      </w:r>
    </w:p>
    <w:p w14:paraId="74FEE775" w14:textId="37F6D9D9" w:rsidR="002C55BC" w:rsidRPr="001A5936" w:rsidRDefault="001A5936" w:rsidP="00D437AF">
      <w:pPr>
        <w:pStyle w:val="ListParagraph"/>
        <w:numPr>
          <w:ilvl w:val="0"/>
          <w:numId w:val="15"/>
        </w:numPr>
        <w:spacing w:after="120"/>
        <w:rPr>
          <w:sz w:val="22"/>
          <w:szCs w:val="22"/>
        </w:rPr>
      </w:pPr>
      <w:r w:rsidRPr="001A5936">
        <w:rPr>
          <w:sz w:val="22"/>
          <w:szCs w:val="22"/>
        </w:rPr>
        <w:t xml:space="preserve">RAN4 to define the number of cells for which UE can store </w:t>
      </w:r>
      <w:r w:rsidR="00F515C4">
        <w:rPr>
          <w:sz w:val="22"/>
          <w:szCs w:val="22"/>
        </w:rPr>
        <w:t xml:space="preserve">time frequency </w:t>
      </w:r>
      <w:r w:rsidRPr="001A5936">
        <w:rPr>
          <w:sz w:val="22"/>
          <w:szCs w:val="22"/>
        </w:rPr>
        <w:t>tracking information.</w:t>
      </w:r>
    </w:p>
    <w:p w14:paraId="7E766F25" w14:textId="3158A879" w:rsidR="006837B0" w:rsidRDefault="005152B2" w:rsidP="00CD6396">
      <w:pPr>
        <w:pStyle w:val="Heading3"/>
      </w:pPr>
      <w:r>
        <w:t>SFN acquisition of the candidate cell</w:t>
      </w:r>
    </w:p>
    <w:p w14:paraId="50D7FDDD" w14:textId="25519765" w:rsidR="00CD6396" w:rsidRPr="00EE1907" w:rsidRDefault="00E3616E" w:rsidP="00CD6396">
      <w:pPr>
        <w:rPr>
          <w:sz w:val="22"/>
          <w:szCs w:val="22"/>
        </w:rPr>
      </w:pPr>
      <w:r w:rsidRPr="00EE1907">
        <w:rPr>
          <w:sz w:val="22"/>
          <w:szCs w:val="22"/>
        </w:rPr>
        <w:t xml:space="preserve">In previous meeting it was discussed </w:t>
      </w:r>
      <w:r w:rsidR="00B87E16" w:rsidRPr="00EE1907">
        <w:rPr>
          <w:sz w:val="22"/>
          <w:szCs w:val="22"/>
        </w:rPr>
        <w:t xml:space="preserve">about </w:t>
      </w:r>
      <w:r w:rsidRPr="00EE1907">
        <w:rPr>
          <w:sz w:val="22"/>
          <w:szCs w:val="22"/>
        </w:rPr>
        <w:t>when can UE acquire the SFN</w:t>
      </w:r>
      <w:r w:rsidR="00B87E16" w:rsidRPr="00EE1907">
        <w:rPr>
          <w:sz w:val="22"/>
          <w:szCs w:val="22"/>
        </w:rPr>
        <w:t xml:space="preserve"> for the candidate cell</w:t>
      </w:r>
      <w:r w:rsidR="008E4455" w:rsidRPr="00EE1907">
        <w:rPr>
          <w:sz w:val="22"/>
          <w:szCs w:val="22"/>
        </w:rPr>
        <w:t xml:space="preserve"> as</w:t>
      </w:r>
      <w:r w:rsidRPr="00EE1907">
        <w:rPr>
          <w:sz w:val="22"/>
          <w:szCs w:val="22"/>
        </w:rPr>
        <w:t xml:space="preserve"> SFN acquisition is needed for </w:t>
      </w:r>
      <w:r w:rsidR="008E4455" w:rsidRPr="00EE1907">
        <w:rPr>
          <w:sz w:val="22"/>
          <w:szCs w:val="22"/>
        </w:rPr>
        <w:t>following aspects.</w:t>
      </w:r>
    </w:p>
    <w:p w14:paraId="4B3ED09C" w14:textId="3A66F7BA" w:rsidR="008E4455" w:rsidRPr="00EE1907" w:rsidRDefault="006B3FB9" w:rsidP="00D437AF">
      <w:pPr>
        <w:pStyle w:val="ListParagraph"/>
        <w:numPr>
          <w:ilvl w:val="0"/>
          <w:numId w:val="20"/>
        </w:numPr>
        <w:rPr>
          <w:sz w:val="22"/>
          <w:szCs w:val="22"/>
        </w:rPr>
      </w:pPr>
      <w:r w:rsidRPr="00EE1907">
        <w:rPr>
          <w:sz w:val="22"/>
          <w:szCs w:val="22"/>
        </w:rPr>
        <w:t xml:space="preserve">PDCCH </w:t>
      </w:r>
      <w:r w:rsidR="00EE1907" w:rsidRPr="00EE1907">
        <w:rPr>
          <w:sz w:val="22"/>
          <w:szCs w:val="22"/>
        </w:rPr>
        <w:t>order-based</w:t>
      </w:r>
      <w:r w:rsidRPr="00EE1907">
        <w:rPr>
          <w:sz w:val="22"/>
          <w:szCs w:val="22"/>
        </w:rPr>
        <w:t xml:space="preserve"> RACH</w:t>
      </w:r>
    </w:p>
    <w:p w14:paraId="21F3FCFB" w14:textId="60D84CFA" w:rsidR="006B3FB9" w:rsidRPr="00EE1907" w:rsidRDefault="006B3FB9" w:rsidP="00D437AF">
      <w:pPr>
        <w:pStyle w:val="ListParagraph"/>
        <w:numPr>
          <w:ilvl w:val="0"/>
          <w:numId w:val="20"/>
        </w:numPr>
        <w:rPr>
          <w:sz w:val="22"/>
          <w:szCs w:val="22"/>
        </w:rPr>
      </w:pPr>
      <w:r w:rsidRPr="00EE1907">
        <w:rPr>
          <w:sz w:val="22"/>
          <w:szCs w:val="22"/>
        </w:rPr>
        <w:t xml:space="preserve">Cell switch </w:t>
      </w:r>
    </w:p>
    <w:p w14:paraId="54D4EBDC" w14:textId="469B1C15" w:rsidR="003C6C92" w:rsidRPr="00EE1907" w:rsidRDefault="003C6C92" w:rsidP="003C6C92">
      <w:pPr>
        <w:rPr>
          <w:sz w:val="22"/>
          <w:szCs w:val="22"/>
        </w:rPr>
      </w:pPr>
      <w:r w:rsidRPr="00EE1907">
        <w:rPr>
          <w:sz w:val="22"/>
          <w:szCs w:val="22"/>
        </w:rPr>
        <w:t xml:space="preserve">UE measures neighbour cells L1-RSRP using a measurement engine and </w:t>
      </w:r>
      <w:r w:rsidR="00686A30" w:rsidRPr="00EE1907">
        <w:rPr>
          <w:sz w:val="22"/>
          <w:szCs w:val="22"/>
        </w:rPr>
        <w:t xml:space="preserve">in general measurement engine is based on the time domain </w:t>
      </w:r>
      <w:r w:rsidR="001F0763" w:rsidRPr="00EE1907">
        <w:rPr>
          <w:sz w:val="22"/>
          <w:szCs w:val="22"/>
        </w:rPr>
        <w:t>correlation</w:t>
      </w:r>
      <w:r w:rsidR="001422B9" w:rsidRPr="00EE1907">
        <w:rPr>
          <w:sz w:val="22"/>
          <w:szCs w:val="22"/>
        </w:rPr>
        <w:t xml:space="preserve">. If we understand the companies concerns clearly, measurement engine </w:t>
      </w:r>
      <w:r w:rsidR="00EE1907" w:rsidRPr="00EE1907">
        <w:rPr>
          <w:sz w:val="22"/>
          <w:szCs w:val="22"/>
        </w:rPr>
        <w:t>does</w:t>
      </w:r>
      <w:r w:rsidR="001422B9" w:rsidRPr="00EE1907">
        <w:rPr>
          <w:sz w:val="22"/>
          <w:szCs w:val="22"/>
        </w:rPr>
        <w:t xml:space="preserve"> not generally operate in frequency domain, though UE is measuring L1-RSRP</w:t>
      </w:r>
      <w:r w:rsidR="00167196" w:rsidRPr="00EE1907">
        <w:rPr>
          <w:sz w:val="22"/>
          <w:szCs w:val="22"/>
        </w:rPr>
        <w:t xml:space="preserve">, UE may not take L1-RSRP measurement in frequency domain and hence there is less chance that </w:t>
      </w:r>
      <w:r w:rsidR="00C76230" w:rsidRPr="00EE1907">
        <w:rPr>
          <w:sz w:val="22"/>
          <w:szCs w:val="22"/>
        </w:rPr>
        <w:t xml:space="preserve">UE measures SFN during </w:t>
      </w:r>
      <w:r w:rsidR="004F79E4" w:rsidRPr="00EE1907">
        <w:rPr>
          <w:sz w:val="22"/>
          <w:szCs w:val="22"/>
        </w:rPr>
        <w:t xml:space="preserve">L1-RSRP measurement. </w:t>
      </w:r>
      <w:r w:rsidR="0024084B" w:rsidRPr="00EE1907">
        <w:rPr>
          <w:sz w:val="22"/>
          <w:szCs w:val="22"/>
        </w:rPr>
        <w:t>However,</w:t>
      </w:r>
      <w:r w:rsidR="00396920" w:rsidRPr="00EE1907">
        <w:rPr>
          <w:sz w:val="22"/>
          <w:szCs w:val="22"/>
        </w:rPr>
        <w:t xml:space="preserve"> we would also understand that </w:t>
      </w:r>
      <w:r w:rsidR="003D2D97" w:rsidRPr="00EE1907">
        <w:rPr>
          <w:sz w:val="22"/>
          <w:szCs w:val="22"/>
        </w:rPr>
        <w:t xml:space="preserve">RAN4 agree to obtain fine time tracking when UE performs the </w:t>
      </w:r>
      <w:r w:rsidR="00F8474D" w:rsidRPr="00EE1907">
        <w:rPr>
          <w:sz w:val="22"/>
          <w:szCs w:val="22"/>
        </w:rPr>
        <w:t xml:space="preserve">L1-RSRP measurement. </w:t>
      </w:r>
      <w:r w:rsidR="00F8474D" w:rsidRPr="00E32A08">
        <w:rPr>
          <w:sz w:val="22"/>
          <w:szCs w:val="22"/>
        </w:rPr>
        <w:t xml:space="preserve">We think without going to decode SSB in frequency domain, UE may not be able to obtain strict time and </w:t>
      </w:r>
      <w:r w:rsidR="0024084B" w:rsidRPr="00E32A08">
        <w:rPr>
          <w:sz w:val="22"/>
          <w:szCs w:val="22"/>
        </w:rPr>
        <w:t xml:space="preserve">frequency to satisfy </w:t>
      </w:r>
      <w:r w:rsidR="00272E71" w:rsidRPr="00E32A08">
        <w:rPr>
          <w:sz w:val="22"/>
          <w:szCs w:val="22"/>
        </w:rPr>
        <w:t>transmit timing error requirements. Since</w:t>
      </w:r>
      <w:r w:rsidR="00272E71" w:rsidRPr="00EE1907">
        <w:rPr>
          <w:sz w:val="22"/>
          <w:szCs w:val="22"/>
        </w:rPr>
        <w:t xml:space="preserve"> UE is expected to </w:t>
      </w:r>
      <w:r w:rsidR="005A2F6F" w:rsidRPr="00EE1907">
        <w:rPr>
          <w:sz w:val="22"/>
          <w:szCs w:val="22"/>
        </w:rPr>
        <w:t>go to</w:t>
      </w:r>
      <w:r w:rsidR="00272E71" w:rsidRPr="00EE1907">
        <w:rPr>
          <w:sz w:val="22"/>
          <w:szCs w:val="22"/>
        </w:rPr>
        <w:t xml:space="preserve"> frequency domain decoding </w:t>
      </w:r>
      <w:r w:rsidR="005A2F6F" w:rsidRPr="00EE1907">
        <w:rPr>
          <w:sz w:val="22"/>
          <w:szCs w:val="22"/>
        </w:rPr>
        <w:t>at least</w:t>
      </w:r>
      <w:r w:rsidR="00272E71" w:rsidRPr="00EE1907">
        <w:rPr>
          <w:sz w:val="22"/>
          <w:szCs w:val="22"/>
        </w:rPr>
        <w:t xml:space="preserve"> once in few L1-RSRP occasions to get fine timing, we think UE can obtain SFN at the same time. </w:t>
      </w:r>
    </w:p>
    <w:p w14:paraId="4F414E03" w14:textId="5DC108C3" w:rsidR="005A2F6F" w:rsidRPr="00CD6396" w:rsidRDefault="005A2F6F" w:rsidP="00D437AF">
      <w:pPr>
        <w:pStyle w:val="ListParagraph"/>
        <w:numPr>
          <w:ilvl w:val="0"/>
          <w:numId w:val="15"/>
        </w:numPr>
        <w:spacing w:after="120"/>
      </w:pPr>
      <w:r w:rsidRPr="00EE1907">
        <w:rPr>
          <w:sz w:val="22"/>
          <w:szCs w:val="22"/>
        </w:rPr>
        <w:t>RAN4 to agree that UE</w:t>
      </w:r>
      <w:r w:rsidR="004F6AAA" w:rsidRPr="00EE1907">
        <w:rPr>
          <w:sz w:val="22"/>
          <w:szCs w:val="22"/>
        </w:rPr>
        <w:t xml:space="preserve"> obtains SFN during </w:t>
      </w:r>
      <w:r w:rsidR="00EE1907" w:rsidRPr="00EE1907">
        <w:rPr>
          <w:sz w:val="22"/>
          <w:szCs w:val="22"/>
        </w:rPr>
        <w:t>L1-RSRP measurement and no additional delay is needed for SFN reading</w:t>
      </w:r>
      <w:r w:rsidR="001672BC">
        <w:rPr>
          <w:sz w:val="22"/>
          <w:szCs w:val="22"/>
        </w:rPr>
        <w:t>.</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3F6EF6" w:rsidRDefault="00D24F68" w:rsidP="00D24F68">
      <w:pPr>
        <w:rPr>
          <w:b/>
          <w:bCs/>
        </w:rPr>
      </w:pPr>
      <w:r w:rsidRPr="003F6EF6">
        <w:rPr>
          <w:sz w:val="22"/>
          <w:lang w:val="en-CA"/>
        </w:rPr>
        <w:t xml:space="preserve">In this contribution we have analysed </w:t>
      </w:r>
      <w:r w:rsidR="00985DA5" w:rsidRPr="003F6EF6">
        <w:rPr>
          <w:sz w:val="22"/>
          <w:lang w:val="en-CA"/>
        </w:rPr>
        <w:t xml:space="preserve">RAN4 aspects for L1/L2 based inter-cell mobility </w:t>
      </w:r>
      <w:r w:rsidRPr="003F6EF6">
        <w:rPr>
          <w:sz w:val="22"/>
          <w:lang w:val="en-CA"/>
        </w:rPr>
        <w:t>and made following proposals.</w:t>
      </w:r>
      <w:r w:rsidRPr="003F6EF6">
        <w:rPr>
          <w:b/>
          <w:bCs/>
        </w:rPr>
        <w:t xml:space="preserve"> </w:t>
      </w:r>
    </w:p>
    <w:p w14:paraId="6984D8BB" w14:textId="77777777" w:rsidR="009A7342" w:rsidRPr="00C0045C" w:rsidRDefault="009A7342" w:rsidP="00D437AF">
      <w:pPr>
        <w:pStyle w:val="ListParagraph"/>
        <w:numPr>
          <w:ilvl w:val="0"/>
          <w:numId w:val="21"/>
        </w:numPr>
        <w:rPr>
          <w:sz w:val="22"/>
          <w:szCs w:val="22"/>
        </w:rPr>
      </w:pPr>
      <w:r w:rsidRPr="00C0045C">
        <w:rPr>
          <w:sz w:val="22"/>
          <w:szCs w:val="22"/>
        </w:rPr>
        <w:t xml:space="preserve">If SSB index indicated in PDCCH order is not in the active TCI state list that has been activated for the target cell, when the measurement period of L1-RSRP is no longer than 160ms, additional delay is </w:t>
      </w:r>
      <w:r>
        <w:rPr>
          <w:sz w:val="22"/>
          <w:szCs w:val="22"/>
        </w:rPr>
        <w:t xml:space="preserve">not needed for fine time tracking. </w:t>
      </w:r>
    </w:p>
    <w:p w14:paraId="361CC9EC" w14:textId="0653D86B" w:rsidR="00E8329F" w:rsidRPr="00D437AF" w:rsidRDefault="009A7342" w:rsidP="00D437AF">
      <w:pPr>
        <w:pStyle w:val="ListParagraph"/>
        <w:numPr>
          <w:ilvl w:val="0"/>
          <w:numId w:val="21"/>
        </w:numPr>
        <w:rPr>
          <w:rFonts w:asciiTheme="minorHAnsi" w:hAnsiTheme="minorHAnsi" w:cstheme="minorHAnsi"/>
          <w:sz w:val="24"/>
          <w:szCs w:val="24"/>
        </w:rPr>
      </w:pPr>
      <w:r w:rsidRPr="003F6EF6">
        <w:rPr>
          <w:sz w:val="22"/>
          <w:szCs w:val="22"/>
        </w:rPr>
        <w:t xml:space="preserve">If a TCI state is configured in the active TCI state list, UE shall track the TCI state once in every 160ms to guarantee predictable </w:t>
      </w:r>
      <w:r>
        <w:rPr>
          <w:sz w:val="22"/>
          <w:szCs w:val="22"/>
        </w:rPr>
        <w:t>scheduling after</w:t>
      </w:r>
      <w:r w:rsidRPr="003F6EF6">
        <w:rPr>
          <w:sz w:val="22"/>
          <w:szCs w:val="22"/>
        </w:rPr>
        <w:t xml:space="preserve"> LTM HO.</w:t>
      </w:r>
    </w:p>
    <w:p w14:paraId="772A1D40" w14:textId="25B1136B" w:rsidR="00D437AF" w:rsidRPr="00D437AF" w:rsidRDefault="00D437AF" w:rsidP="00D437AF">
      <w:pPr>
        <w:pStyle w:val="ListParagraph"/>
        <w:numPr>
          <w:ilvl w:val="0"/>
          <w:numId w:val="21"/>
        </w:numPr>
        <w:rPr>
          <w:rFonts w:asciiTheme="minorHAnsi" w:hAnsiTheme="minorHAnsi" w:cstheme="minorHAnsi"/>
          <w:sz w:val="24"/>
          <w:szCs w:val="24"/>
        </w:rPr>
      </w:pPr>
      <w:r w:rsidRPr="001A5936">
        <w:rPr>
          <w:sz w:val="22"/>
          <w:szCs w:val="22"/>
        </w:rPr>
        <w:t xml:space="preserve">RAN4 to define the number of cells for which UE can store </w:t>
      </w:r>
      <w:r>
        <w:rPr>
          <w:sz w:val="22"/>
          <w:szCs w:val="22"/>
        </w:rPr>
        <w:t xml:space="preserve">time frequency </w:t>
      </w:r>
      <w:r w:rsidRPr="001A5936">
        <w:rPr>
          <w:sz w:val="22"/>
          <w:szCs w:val="22"/>
        </w:rPr>
        <w:t>tracking information.</w:t>
      </w:r>
    </w:p>
    <w:p w14:paraId="398F92D9" w14:textId="1C3F3D76" w:rsidR="00D437AF" w:rsidRPr="008716D1" w:rsidRDefault="00D437AF" w:rsidP="00D437AF">
      <w:pPr>
        <w:pStyle w:val="ListParagraph"/>
        <w:numPr>
          <w:ilvl w:val="0"/>
          <w:numId w:val="21"/>
        </w:numPr>
        <w:rPr>
          <w:rFonts w:asciiTheme="minorHAnsi" w:hAnsiTheme="minorHAnsi" w:cstheme="minorHAnsi"/>
          <w:sz w:val="24"/>
          <w:szCs w:val="24"/>
        </w:rPr>
      </w:pPr>
      <w:r w:rsidRPr="00EE1907">
        <w:rPr>
          <w:sz w:val="22"/>
          <w:szCs w:val="22"/>
        </w:rPr>
        <w:t>RAN4 to agree that UE obtains SFN during L1-RSRP measurement and no additional delay is needed for SFN reading</w:t>
      </w:r>
      <w:r w:rsidR="00E462C6">
        <w:rPr>
          <w:sz w:val="22"/>
          <w:szCs w:val="22"/>
        </w:rPr>
        <w: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1"/>
      <w:bookmarkEnd w:id="2"/>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4BD4AFF"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303175</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34ED4" w14:textId="77777777" w:rsidR="000C1AF8" w:rsidRDefault="000C1AF8">
      <w:r>
        <w:separator/>
      </w:r>
    </w:p>
  </w:endnote>
  <w:endnote w:type="continuationSeparator" w:id="0">
    <w:p w14:paraId="6F25B934" w14:textId="77777777" w:rsidR="000C1AF8" w:rsidRDefault="000C1AF8">
      <w:r>
        <w:continuationSeparator/>
      </w:r>
    </w:p>
  </w:endnote>
  <w:endnote w:type="continuationNotice" w:id="1">
    <w:p w14:paraId="2C7D8FD8" w14:textId="77777777" w:rsidR="000C1AF8" w:rsidRDefault="000C1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6F3F" w14:textId="77777777" w:rsidR="000C1AF8" w:rsidRDefault="000C1AF8">
      <w:r>
        <w:separator/>
      </w:r>
    </w:p>
  </w:footnote>
  <w:footnote w:type="continuationSeparator" w:id="0">
    <w:p w14:paraId="0533C39D" w14:textId="77777777" w:rsidR="000C1AF8" w:rsidRDefault="000C1AF8">
      <w:r>
        <w:continuationSeparator/>
      </w:r>
    </w:p>
  </w:footnote>
  <w:footnote w:type="continuationNotice" w:id="1">
    <w:p w14:paraId="229773B8" w14:textId="77777777" w:rsidR="000C1AF8" w:rsidRDefault="000C1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11EC3"/>
    <w:multiLevelType w:val="hybridMultilevel"/>
    <w:tmpl w:val="A8E4A75A"/>
    <w:lvl w:ilvl="0" w:tplc="9FF03C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38944DF2"/>
    <w:multiLevelType w:val="hybridMultilevel"/>
    <w:tmpl w:val="0E26465C"/>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D5252C5"/>
    <w:multiLevelType w:val="hybridMultilevel"/>
    <w:tmpl w:val="477EFE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DEF634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B97BA7"/>
    <w:multiLevelType w:val="hybridMultilevel"/>
    <w:tmpl w:val="697060F0"/>
    <w:lvl w:ilvl="0" w:tplc="4B9886CC">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11"/>
  </w:num>
  <w:num w:numId="2" w16cid:durableId="575632203">
    <w:abstractNumId w:val="19"/>
  </w:num>
  <w:num w:numId="3" w16cid:durableId="1644773637">
    <w:abstractNumId w:val="16"/>
  </w:num>
  <w:num w:numId="4" w16cid:durableId="1568686257">
    <w:abstractNumId w:val="7"/>
  </w:num>
  <w:num w:numId="5" w16cid:durableId="1785804881">
    <w:abstractNumId w:val="9"/>
  </w:num>
  <w:num w:numId="6" w16cid:durableId="461194499">
    <w:abstractNumId w:val="2"/>
  </w:num>
  <w:num w:numId="7" w16cid:durableId="414863606">
    <w:abstractNumId w:val="1"/>
  </w:num>
  <w:num w:numId="8" w16cid:durableId="130753448">
    <w:abstractNumId w:val="20"/>
  </w:num>
  <w:num w:numId="9" w16cid:durableId="578953281">
    <w:abstractNumId w:val="10"/>
  </w:num>
  <w:num w:numId="10" w16cid:durableId="1230724704">
    <w:abstractNumId w:val="13"/>
  </w:num>
  <w:num w:numId="11" w16cid:durableId="2030065520">
    <w:abstractNumId w:val="4"/>
  </w:num>
  <w:num w:numId="12" w16cid:durableId="1534347460">
    <w:abstractNumId w:val="0"/>
  </w:num>
  <w:num w:numId="13" w16cid:durableId="643050380">
    <w:abstractNumId w:val="8"/>
  </w:num>
  <w:num w:numId="14" w16cid:durableId="990791191">
    <w:abstractNumId w:val="14"/>
  </w:num>
  <w:num w:numId="15" w16cid:durableId="2024934073">
    <w:abstractNumId w:val="5"/>
  </w:num>
  <w:num w:numId="16" w16cid:durableId="231280868">
    <w:abstractNumId w:val="15"/>
  </w:num>
  <w:num w:numId="17" w16cid:durableId="1050960116">
    <w:abstractNumId w:val="18"/>
  </w:num>
  <w:num w:numId="18" w16cid:durableId="1004093418">
    <w:abstractNumId w:val="6"/>
  </w:num>
  <w:num w:numId="19" w16cid:durableId="5061764">
    <w:abstractNumId w:val="3"/>
  </w:num>
  <w:num w:numId="20" w16cid:durableId="282662284">
    <w:abstractNumId w:val="12"/>
  </w:num>
  <w:num w:numId="21" w16cid:durableId="26916765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98B"/>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4FB7"/>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D07"/>
    <w:rsid w:val="00035FBF"/>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488"/>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5C0"/>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1AF8"/>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1CB"/>
    <w:rsid w:val="000C722B"/>
    <w:rsid w:val="000C7688"/>
    <w:rsid w:val="000C7C45"/>
    <w:rsid w:val="000D0275"/>
    <w:rsid w:val="000D0643"/>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ACD"/>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58F"/>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0BE6"/>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22"/>
    <w:rsid w:val="001376D7"/>
    <w:rsid w:val="001379FC"/>
    <w:rsid w:val="00137B9B"/>
    <w:rsid w:val="00137E1E"/>
    <w:rsid w:val="001408E3"/>
    <w:rsid w:val="00140A45"/>
    <w:rsid w:val="001413AB"/>
    <w:rsid w:val="00141911"/>
    <w:rsid w:val="00141B39"/>
    <w:rsid w:val="00141C9C"/>
    <w:rsid w:val="001422B9"/>
    <w:rsid w:val="0014276E"/>
    <w:rsid w:val="0014299C"/>
    <w:rsid w:val="00142C2E"/>
    <w:rsid w:val="00142CFE"/>
    <w:rsid w:val="00142D41"/>
    <w:rsid w:val="001432BD"/>
    <w:rsid w:val="00143659"/>
    <w:rsid w:val="001437FB"/>
    <w:rsid w:val="00143A1F"/>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19D"/>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196"/>
    <w:rsid w:val="001672BC"/>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904"/>
    <w:rsid w:val="001A6BB7"/>
    <w:rsid w:val="001A7000"/>
    <w:rsid w:val="001A70C8"/>
    <w:rsid w:val="001A745F"/>
    <w:rsid w:val="001A7594"/>
    <w:rsid w:val="001A75C3"/>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035"/>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368"/>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302D"/>
    <w:rsid w:val="001E3068"/>
    <w:rsid w:val="001E3093"/>
    <w:rsid w:val="001E3831"/>
    <w:rsid w:val="001E3928"/>
    <w:rsid w:val="001E3D39"/>
    <w:rsid w:val="001E3E93"/>
    <w:rsid w:val="001E3FA6"/>
    <w:rsid w:val="001E41F3"/>
    <w:rsid w:val="001E445B"/>
    <w:rsid w:val="001E4832"/>
    <w:rsid w:val="001E4F4B"/>
    <w:rsid w:val="001E5056"/>
    <w:rsid w:val="001E5A9A"/>
    <w:rsid w:val="001E6772"/>
    <w:rsid w:val="001E68FC"/>
    <w:rsid w:val="001E6AAF"/>
    <w:rsid w:val="001E7814"/>
    <w:rsid w:val="001F06D3"/>
    <w:rsid w:val="001F076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8D2"/>
    <w:rsid w:val="00221B57"/>
    <w:rsid w:val="00221EA8"/>
    <w:rsid w:val="002221B8"/>
    <w:rsid w:val="00222371"/>
    <w:rsid w:val="00222443"/>
    <w:rsid w:val="002239B0"/>
    <w:rsid w:val="002248E5"/>
    <w:rsid w:val="00224976"/>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88C"/>
    <w:rsid w:val="00230B4D"/>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84B"/>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2A2"/>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5AE"/>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79DB"/>
    <w:rsid w:val="00267D66"/>
    <w:rsid w:val="00270155"/>
    <w:rsid w:val="0027034F"/>
    <w:rsid w:val="00270697"/>
    <w:rsid w:val="00270908"/>
    <w:rsid w:val="00271109"/>
    <w:rsid w:val="0027142A"/>
    <w:rsid w:val="0027160B"/>
    <w:rsid w:val="0027163C"/>
    <w:rsid w:val="0027176C"/>
    <w:rsid w:val="00271927"/>
    <w:rsid w:val="00271F53"/>
    <w:rsid w:val="002720F6"/>
    <w:rsid w:val="0027220B"/>
    <w:rsid w:val="00272E71"/>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6B"/>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5BC"/>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05C"/>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372"/>
    <w:rsid w:val="00303777"/>
    <w:rsid w:val="003038EB"/>
    <w:rsid w:val="003039B9"/>
    <w:rsid w:val="00303E72"/>
    <w:rsid w:val="00303FF3"/>
    <w:rsid w:val="003042D2"/>
    <w:rsid w:val="003042D9"/>
    <w:rsid w:val="003044F7"/>
    <w:rsid w:val="0030475A"/>
    <w:rsid w:val="00304BFD"/>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0D7"/>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A02"/>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98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01E"/>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0C7"/>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64C2"/>
    <w:rsid w:val="00396920"/>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45"/>
    <w:rsid w:val="003A5F6C"/>
    <w:rsid w:val="003A6193"/>
    <w:rsid w:val="003A64DF"/>
    <w:rsid w:val="003A6AEA"/>
    <w:rsid w:val="003A6B31"/>
    <w:rsid w:val="003A7592"/>
    <w:rsid w:val="003A7B45"/>
    <w:rsid w:val="003A7DD5"/>
    <w:rsid w:val="003B01ED"/>
    <w:rsid w:val="003B0764"/>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57"/>
    <w:rsid w:val="003B6E73"/>
    <w:rsid w:val="003B7763"/>
    <w:rsid w:val="003B77B7"/>
    <w:rsid w:val="003B7876"/>
    <w:rsid w:val="003B7BA6"/>
    <w:rsid w:val="003B7CA8"/>
    <w:rsid w:val="003C0675"/>
    <w:rsid w:val="003C0A88"/>
    <w:rsid w:val="003C0D96"/>
    <w:rsid w:val="003C1444"/>
    <w:rsid w:val="003C1953"/>
    <w:rsid w:val="003C21A0"/>
    <w:rsid w:val="003C28D5"/>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6C92"/>
    <w:rsid w:val="003C707D"/>
    <w:rsid w:val="003C7082"/>
    <w:rsid w:val="003C70A7"/>
    <w:rsid w:val="003C72D2"/>
    <w:rsid w:val="003C7495"/>
    <w:rsid w:val="003C7656"/>
    <w:rsid w:val="003C76C5"/>
    <w:rsid w:val="003D0362"/>
    <w:rsid w:val="003D161A"/>
    <w:rsid w:val="003D184B"/>
    <w:rsid w:val="003D1E8B"/>
    <w:rsid w:val="003D2133"/>
    <w:rsid w:val="003D2D97"/>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2C7"/>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882"/>
    <w:rsid w:val="00437C3A"/>
    <w:rsid w:val="00440101"/>
    <w:rsid w:val="00440239"/>
    <w:rsid w:val="004405E9"/>
    <w:rsid w:val="004405F6"/>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C2"/>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3A1"/>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4"/>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2F1"/>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84"/>
    <w:rsid w:val="004C25B1"/>
    <w:rsid w:val="004C3258"/>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E2E"/>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3"/>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AA"/>
    <w:rsid w:val="004F6D61"/>
    <w:rsid w:val="004F70BE"/>
    <w:rsid w:val="004F76D3"/>
    <w:rsid w:val="004F79E4"/>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A2C"/>
    <w:rsid w:val="00504F5F"/>
    <w:rsid w:val="00505887"/>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4F04"/>
    <w:rsid w:val="005152B2"/>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26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3DF"/>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0E3E"/>
    <w:rsid w:val="00541088"/>
    <w:rsid w:val="0054121E"/>
    <w:rsid w:val="0054157D"/>
    <w:rsid w:val="00541637"/>
    <w:rsid w:val="00541CC3"/>
    <w:rsid w:val="00542731"/>
    <w:rsid w:val="00542768"/>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490"/>
    <w:rsid w:val="00585A15"/>
    <w:rsid w:val="00585B8B"/>
    <w:rsid w:val="00585FE5"/>
    <w:rsid w:val="005864B3"/>
    <w:rsid w:val="005864BC"/>
    <w:rsid w:val="00586798"/>
    <w:rsid w:val="00586823"/>
    <w:rsid w:val="00587A51"/>
    <w:rsid w:val="00587DEC"/>
    <w:rsid w:val="0059000D"/>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C"/>
    <w:rsid w:val="00596AF7"/>
    <w:rsid w:val="00596C0F"/>
    <w:rsid w:val="005A01B9"/>
    <w:rsid w:val="005A0223"/>
    <w:rsid w:val="005A05AF"/>
    <w:rsid w:val="005A0810"/>
    <w:rsid w:val="005A11DB"/>
    <w:rsid w:val="005A14AA"/>
    <w:rsid w:val="005A158A"/>
    <w:rsid w:val="005A2335"/>
    <w:rsid w:val="005A2934"/>
    <w:rsid w:val="005A2A7C"/>
    <w:rsid w:val="005A2D0A"/>
    <w:rsid w:val="005A2F6F"/>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C0438"/>
    <w:rsid w:val="005C16F1"/>
    <w:rsid w:val="005C1856"/>
    <w:rsid w:val="005C19A7"/>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14B"/>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0EFF"/>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9B"/>
    <w:rsid w:val="005E6DDB"/>
    <w:rsid w:val="005E7154"/>
    <w:rsid w:val="005E739F"/>
    <w:rsid w:val="005F0317"/>
    <w:rsid w:val="005F0333"/>
    <w:rsid w:val="005F034D"/>
    <w:rsid w:val="005F067D"/>
    <w:rsid w:val="005F0ABE"/>
    <w:rsid w:val="005F1185"/>
    <w:rsid w:val="005F1325"/>
    <w:rsid w:val="005F16B1"/>
    <w:rsid w:val="005F1847"/>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58B"/>
    <w:rsid w:val="005F67A0"/>
    <w:rsid w:val="005F6DE6"/>
    <w:rsid w:val="005F7EEE"/>
    <w:rsid w:val="006004E2"/>
    <w:rsid w:val="00600701"/>
    <w:rsid w:val="00600ACB"/>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CE8"/>
    <w:rsid w:val="00613D1C"/>
    <w:rsid w:val="0061406C"/>
    <w:rsid w:val="0061413E"/>
    <w:rsid w:val="00614920"/>
    <w:rsid w:val="0061499C"/>
    <w:rsid w:val="00615B41"/>
    <w:rsid w:val="00615BD4"/>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485"/>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47FF8"/>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D8C"/>
    <w:rsid w:val="00652E8B"/>
    <w:rsid w:val="00653047"/>
    <w:rsid w:val="0065356F"/>
    <w:rsid w:val="00653BB0"/>
    <w:rsid w:val="00654066"/>
    <w:rsid w:val="006546A6"/>
    <w:rsid w:val="0065470D"/>
    <w:rsid w:val="00654D03"/>
    <w:rsid w:val="00655371"/>
    <w:rsid w:val="006555B8"/>
    <w:rsid w:val="00656241"/>
    <w:rsid w:val="00656707"/>
    <w:rsid w:val="00656FB0"/>
    <w:rsid w:val="00657135"/>
    <w:rsid w:val="006573C6"/>
    <w:rsid w:val="0065750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6A30"/>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39"/>
    <w:rsid w:val="00696455"/>
    <w:rsid w:val="00696AC1"/>
    <w:rsid w:val="00696CC9"/>
    <w:rsid w:val="00696E12"/>
    <w:rsid w:val="006973DB"/>
    <w:rsid w:val="0069743D"/>
    <w:rsid w:val="0069752A"/>
    <w:rsid w:val="00697F18"/>
    <w:rsid w:val="006A1049"/>
    <w:rsid w:val="006A1488"/>
    <w:rsid w:val="006A1A80"/>
    <w:rsid w:val="006A1FEB"/>
    <w:rsid w:val="006A2022"/>
    <w:rsid w:val="006A2391"/>
    <w:rsid w:val="006A277D"/>
    <w:rsid w:val="006A277F"/>
    <w:rsid w:val="006A2C19"/>
    <w:rsid w:val="006A2DAF"/>
    <w:rsid w:val="006A3863"/>
    <w:rsid w:val="006A4031"/>
    <w:rsid w:val="006A46DB"/>
    <w:rsid w:val="006A4723"/>
    <w:rsid w:val="006A4F90"/>
    <w:rsid w:val="006A5255"/>
    <w:rsid w:val="006A5D7B"/>
    <w:rsid w:val="006A5EE1"/>
    <w:rsid w:val="006A665A"/>
    <w:rsid w:val="006A66CB"/>
    <w:rsid w:val="006A6A94"/>
    <w:rsid w:val="006A7310"/>
    <w:rsid w:val="006A77F9"/>
    <w:rsid w:val="006A7871"/>
    <w:rsid w:val="006A7C36"/>
    <w:rsid w:val="006A7C91"/>
    <w:rsid w:val="006A7DD6"/>
    <w:rsid w:val="006B005E"/>
    <w:rsid w:val="006B01D1"/>
    <w:rsid w:val="006B0317"/>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3FB9"/>
    <w:rsid w:val="006B46F4"/>
    <w:rsid w:val="006B4B13"/>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03"/>
    <w:rsid w:val="006C6622"/>
    <w:rsid w:val="006C6ABD"/>
    <w:rsid w:val="006C7816"/>
    <w:rsid w:val="006C796C"/>
    <w:rsid w:val="006C7B68"/>
    <w:rsid w:val="006D00B2"/>
    <w:rsid w:val="006D044F"/>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0DE6"/>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202"/>
    <w:rsid w:val="0073300B"/>
    <w:rsid w:val="007330B1"/>
    <w:rsid w:val="007331A6"/>
    <w:rsid w:val="00733351"/>
    <w:rsid w:val="00733399"/>
    <w:rsid w:val="00733859"/>
    <w:rsid w:val="00733991"/>
    <w:rsid w:val="007345D0"/>
    <w:rsid w:val="00734A96"/>
    <w:rsid w:val="00734BBB"/>
    <w:rsid w:val="00735BB4"/>
    <w:rsid w:val="007360B7"/>
    <w:rsid w:val="00736370"/>
    <w:rsid w:val="007363CF"/>
    <w:rsid w:val="007363D9"/>
    <w:rsid w:val="00736ABB"/>
    <w:rsid w:val="00736DDE"/>
    <w:rsid w:val="00736E55"/>
    <w:rsid w:val="00737AEA"/>
    <w:rsid w:val="007407DC"/>
    <w:rsid w:val="00740D00"/>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C3C"/>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252"/>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52EF"/>
    <w:rsid w:val="007A542F"/>
    <w:rsid w:val="007A56CB"/>
    <w:rsid w:val="007A5C1C"/>
    <w:rsid w:val="007A5DD7"/>
    <w:rsid w:val="007A706A"/>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785"/>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32"/>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6FA4"/>
    <w:rsid w:val="00827129"/>
    <w:rsid w:val="0082729F"/>
    <w:rsid w:val="00827873"/>
    <w:rsid w:val="00827B02"/>
    <w:rsid w:val="0083025D"/>
    <w:rsid w:val="0083114E"/>
    <w:rsid w:val="00831934"/>
    <w:rsid w:val="00831ACD"/>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542"/>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6D1"/>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373"/>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720"/>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0B53"/>
    <w:rsid w:val="008C1450"/>
    <w:rsid w:val="008C2112"/>
    <w:rsid w:val="008C2674"/>
    <w:rsid w:val="008C2904"/>
    <w:rsid w:val="008C3173"/>
    <w:rsid w:val="008C3288"/>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455"/>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667"/>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BFE"/>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536"/>
    <w:rsid w:val="00912637"/>
    <w:rsid w:val="00913130"/>
    <w:rsid w:val="0091364E"/>
    <w:rsid w:val="00913C50"/>
    <w:rsid w:val="00913DA0"/>
    <w:rsid w:val="009143FB"/>
    <w:rsid w:val="00914B45"/>
    <w:rsid w:val="00914D24"/>
    <w:rsid w:val="00915732"/>
    <w:rsid w:val="00915756"/>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1AF"/>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ED"/>
    <w:rsid w:val="00951C52"/>
    <w:rsid w:val="009523CE"/>
    <w:rsid w:val="00952D40"/>
    <w:rsid w:val="009536AA"/>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0A0"/>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673"/>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342"/>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256D"/>
    <w:rsid w:val="009D2650"/>
    <w:rsid w:val="009D2654"/>
    <w:rsid w:val="009D29C1"/>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0E"/>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3A6"/>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C91"/>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8F"/>
    <w:rsid w:val="00A03F50"/>
    <w:rsid w:val="00A04108"/>
    <w:rsid w:val="00A0513C"/>
    <w:rsid w:val="00A057BF"/>
    <w:rsid w:val="00A05EC8"/>
    <w:rsid w:val="00A061DC"/>
    <w:rsid w:val="00A062C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294B"/>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780"/>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1"/>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06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679"/>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7C8"/>
    <w:rsid w:val="00AD5DE4"/>
    <w:rsid w:val="00AD5EE4"/>
    <w:rsid w:val="00AD6915"/>
    <w:rsid w:val="00AD6CE6"/>
    <w:rsid w:val="00AD6EEA"/>
    <w:rsid w:val="00AD7010"/>
    <w:rsid w:val="00AD7261"/>
    <w:rsid w:val="00AD7263"/>
    <w:rsid w:val="00AD7334"/>
    <w:rsid w:val="00AD743E"/>
    <w:rsid w:val="00AD7593"/>
    <w:rsid w:val="00AD77CB"/>
    <w:rsid w:val="00AD7CFD"/>
    <w:rsid w:val="00AE01B8"/>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AF7AE1"/>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001"/>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271"/>
    <w:rsid w:val="00B1430B"/>
    <w:rsid w:val="00B1451E"/>
    <w:rsid w:val="00B1462F"/>
    <w:rsid w:val="00B14854"/>
    <w:rsid w:val="00B14FCC"/>
    <w:rsid w:val="00B1525F"/>
    <w:rsid w:val="00B15587"/>
    <w:rsid w:val="00B15653"/>
    <w:rsid w:val="00B1576D"/>
    <w:rsid w:val="00B161B9"/>
    <w:rsid w:val="00B16496"/>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58E"/>
    <w:rsid w:val="00B2478E"/>
    <w:rsid w:val="00B24A71"/>
    <w:rsid w:val="00B250A4"/>
    <w:rsid w:val="00B25702"/>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08D9"/>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1DF"/>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86C"/>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03D"/>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548"/>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AA2"/>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EF7"/>
    <w:rsid w:val="00BF106C"/>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5C"/>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EBA"/>
    <w:rsid w:val="00C05458"/>
    <w:rsid w:val="00C0555A"/>
    <w:rsid w:val="00C05BE7"/>
    <w:rsid w:val="00C062BF"/>
    <w:rsid w:val="00C07098"/>
    <w:rsid w:val="00C07354"/>
    <w:rsid w:val="00C074EC"/>
    <w:rsid w:val="00C07A9D"/>
    <w:rsid w:val="00C07E25"/>
    <w:rsid w:val="00C102D5"/>
    <w:rsid w:val="00C10739"/>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3ED"/>
    <w:rsid w:val="00C3550A"/>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43F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7683"/>
    <w:rsid w:val="00C6796A"/>
    <w:rsid w:val="00C67A01"/>
    <w:rsid w:val="00C67FCD"/>
    <w:rsid w:val="00C706BC"/>
    <w:rsid w:val="00C70934"/>
    <w:rsid w:val="00C70B20"/>
    <w:rsid w:val="00C71B5C"/>
    <w:rsid w:val="00C71EC1"/>
    <w:rsid w:val="00C7209B"/>
    <w:rsid w:val="00C7235C"/>
    <w:rsid w:val="00C73311"/>
    <w:rsid w:val="00C736D4"/>
    <w:rsid w:val="00C73803"/>
    <w:rsid w:val="00C7380B"/>
    <w:rsid w:val="00C738BA"/>
    <w:rsid w:val="00C73DB9"/>
    <w:rsid w:val="00C74269"/>
    <w:rsid w:val="00C743B6"/>
    <w:rsid w:val="00C74678"/>
    <w:rsid w:val="00C748C5"/>
    <w:rsid w:val="00C7509B"/>
    <w:rsid w:val="00C752DB"/>
    <w:rsid w:val="00C75C13"/>
    <w:rsid w:val="00C76024"/>
    <w:rsid w:val="00C7623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6DA"/>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D1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40F9"/>
    <w:rsid w:val="00D14737"/>
    <w:rsid w:val="00D14883"/>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1C"/>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B30"/>
    <w:rsid w:val="00DB761D"/>
    <w:rsid w:val="00DB76FF"/>
    <w:rsid w:val="00DB7D41"/>
    <w:rsid w:val="00DC0053"/>
    <w:rsid w:val="00DC070B"/>
    <w:rsid w:val="00DC1215"/>
    <w:rsid w:val="00DC14E2"/>
    <w:rsid w:val="00DC1529"/>
    <w:rsid w:val="00DC174C"/>
    <w:rsid w:val="00DC19E7"/>
    <w:rsid w:val="00DC1CA5"/>
    <w:rsid w:val="00DC25BE"/>
    <w:rsid w:val="00DC25CD"/>
    <w:rsid w:val="00DC29D3"/>
    <w:rsid w:val="00DC2D7F"/>
    <w:rsid w:val="00DC2E80"/>
    <w:rsid w:val="00DC3016"/>
    <w:rsid w:val="00DC3413"/>
    <w:rsid w:val="00DC34A0"/>
    <w:rsid w:val="00DC3B59"/>
    <w:rsid w:val="00DC40EC"/>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3A"/>
    <w:rsid w:val="00DD179D"/>
    <w:rsid w:val="00DD20B0"/>
    <w:rsid w:val="00DD236D"/>
    <w:rsid w:val="00DD24D7"/>
    <w:rsid w:val="00DD3696"/>
    <w:rsid w:val="00DD36BD"/>
    <w:rsid w:val="00DD3A13"/>
    <w:rsid w:val="00DD3FCB"/>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191"/>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751"/>
    <w:rsid w:val="00E16A38"/>
    <w:rsid w:val="00E16CCA"/>
    <w:rsid w:val="00E17457"/>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33"/>
    <w:rsid w:val="00E260F5"/>
    <w:rsid w:val="00E262DC"/>
    <w:rsid w:val="00E263DC"/>
    <w:rsid w:val="00E264CE"/>
    <w:rsid w:val="00E27B32"/>
    <w:rsid w:val="00E27CC0"/>
    <w:rsid w:val="00E302EB"/>
    <w:rsid w:val="00E30586"/>
    <w:rsid w:val="00E30C5B"/>
    <w:rsid w:val="00E30F0C"/>
    <w:rsid w:val="00E31230"/>
    <w:rsid w:val="00E31C41"/>
    <w:rsid w:val="00E31D3A"/>
    <w:rsid w:val="00E328D2"/>
    <w:rsid w:val="00E328D7"/>
    <w:rsid w:val="00E32A08"/>
    <w:rsid w:val="00E32C71"/>
    <w:rsid w:val="00E33273"/>
    <w:rsid w:val="00E33449"/>
    <w:rsid w:val="00E334F1"/>
    <w:rsid w:val="00E33C03"/>
    <w:rsid w:val="00E355E6"/>
    <w:rsid w:val="00E35A1F"/>
    <w:rsid w:val="00E35A68"/>
    <w:rsid w:val="00E35D26"/>
    <w:rsid w:val="00E35DA1"/>
    <w:rsid w:val="00E36165"/>
    <w:rsid w:val="00E3616E"/>
    <w:rsid w:val="00E364A9"/>
    <w:rsid w:val="00E36874"/>
    <w:rsid w:val="00E36A5D"/>
    <w:rsid w:val="00E36C0E"/>
    <w:rsid w:val="00E36F9A"/>
    <w:rsid w:val="00E36FA6"/>
    <w:rsid w:val="00E370C2"/>
    <w:rsid w:val="00E372C4"/>
    <w:rsid w:val="00E373B7"/>
    <w:rsid w:val="00E37596"/>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C21"/>
    <w:rsid w:val="00E43E25"/>
    <w:rsid w:val="00E43FF5"/>
    <w:rsid w:val="00E44FFE"/>
    <w:rsid w:val="00E4568A"/>
    <w:rsid w:val="00E457DF"/>
    <w:rsid w:val="00E4583D"/>
    <w:rsid w:val="00E45C79"/>
    <w:rsid w:val="00E45E26"/>
    <w:rsid w:val="00E4603D"/>
    <w:rsid w:val="00E462C6"/>
    <w:rsid w:val="00E462F9"/>
    <w:rsid w:val="00E4792B"/>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77B93"/>
    <w:rsid w:val="00E803AD"/>
    <w:rsid w:val="00E803AE"/>
    <w:rsid w:val="00E8040D"/>
    <w:rsid w:val="00E80737"/>
    <w:rsid w:val="00E80F83"/>
    <w:rsid w:val="00E8136C"/>
    <w:rsid w:val="00E81394"/>
    <w:rsid w:val="00E81C62"/>
    <w:rsid w:val="00E82089"/>
    <w:rsid w:val="00E82D82"/>
    <w:rsid w:val="00E82E03"/>
    <w:rsid w:val="00E82F69"/>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67D"/>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73"/>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4F4E"/>
    <w:rsid w:val="00ED607E"/>
    <w:rsid w:val="00ED620B"/>
    <w:rsid w:val="00ED66D3"/>
    <w:rsid w:val="00ED71AF"/>
    <w:rsid w:val="00ED7202"/>
    <w:rsid w:val="00ED753E"/>
    <w:rsid w:val="00EE015C"/>
    <w:rsid w:val="00EE042A"/>
    <w:rsid w:val="00EE0841"/>
    <w:rsid w:val="00EE0EA9"/>
    <w:rsid w:val="00EE1037"/>
    <w:rsid w:val="00EE15F2"/>
    <w:rsid w:val="00EE17EA"/>
    <w:rsid w:val="00EE1907"/>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8E7"/>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02"/>
    <w:rsid w:val="00F030F0"/>
    <w:rsid w:val="00F03131"/>
    <w:rsid w:val="00F03731"/>
    <w:rsid w:val="00F03739"/>
    <w:rsid w:val="00F0398B"/>
    <w:rsid w:val="00F04568"/>
    <w:rsid w:val="00F045A6"/>
    <w:rsid w:val="00F04642"/>
    <w:rsid w:val="00F051D2"/>
    <w:rsid w:val="00F057BB"/>
    <w:rsid w:val="00F05939"/>
    <w:rsid w:val="00F05E19"/>
    <w:rsid w:val="00F064BD"/>
    <w:rsid w:val="00F0766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414"/>
    <w:rsid w:val="00F45882"/>
    <w:rsid w:val="00F45898"/>
    <w:rsid w:val="00F469DC"/>
    <w:rsid w:val="00F472EA"/>
    <w:rsid w:val="00F474F9"/>
    <w:rsid w:val="00F47561"/>
    <w:rsid w:val="00F47785"/>
    <w:rsid w:val="00F47C33"/>
    <w:rsid w:val="00F47DD5"/>
    <w:rsid w:val="00F47E44"/>
    <w:rsid w:val="00F504D0"/>
    <w:rsid w:val="00F50977"/>
    <w:rsid w:val="00F50A3D"/>
    <w:rsid w:val="00F50D30"/>
    <w:rsid w:val="00F50F02"/>
    <w:rsid w:val="00F515C4"/>
    <w:rsid w:val="00F517EE"/>
    <w:rsid w:val="00F51BEC"/>
    <w:rsid w:val="00F52568"/>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7E9"/>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237"/>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74D"/>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716"/>
    <w:rsid w:val="00FB1B6F"/>
    <w:rsid w:val="00FB1EE9"/>
    <w:rsid w:val="00FB2088"/>
    <w:rsid w:val="00FB3334"/>
    <w:rsid w:val="00FB3806"/>
    <w:rsid w:val="00FB3B3C"/>
    <w:rsid w:val="00FB3B6F"/>
    <w:rsid w:val="00FB437D"/>
    <w:rsid w:val="00FB44DC"/>
    <w:rsid w:val="00FB459C"/>
    <w:rsid w:val="00FB4A5E"/>
    <w:rsid w:val="00FB4E35"/>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46"/>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9F7"/>
    <w:rsid w:val="00FF451F"/>
    <w:rsid w:val="00FF49D2"/>
    <w:rsid w:val="00FF4A71"/>
    <w:rsid w:val="00FF4C2D"/>
    <w:rsid w:val="00FF4E3C"/>
    <w:rsid w:val="00FF4EBA"/>
    <w:rsid w:val="00FF50BC"/>
    <w:rsid w:val="00FF52E7"/>
    <w:rsid w:val="00FF5AEA"/>
    <w:rsid w:val="00FF5F2F"/>
    <w:rsid w:val="00FF6031"/>
    <w:rsid w:val="00FF627D"/>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D6396"/>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D6396"/>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F9C19E-8FAA-41D9-A294-12C9FBA15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9b239327-9e80-40e4-b1b7-4394fed77a33"/>
    <ds:schemaRef ds:uri="http://schemas.microsoft.com/office/2006/documentManagement/types"/>
    <ds:schemaRef ds:uri="d8762117-8292-4133-b1c7-eab5c6487cfd"/>
    <ds:schemaRef ds:uri="http://purl.org/dc/dcmitype/"/>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3</Pages>
  <Words>1624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925</cp:revision>
  <dcterms:created xsi:type="dcterms:W3CDTF">2022-08-09T20:39:00Z</dcterms:created>
  <dcterms:modified xsi:type="dcterms:W3CDTF">2023-09-27T21:45:00Z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